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D-637/2015 vom 13. Januar 2016</w:t>
      </w:r>
    </w:p>
    <w:p>
      <w:r>
        <w:t>Bundesverwaltungsgericht, 2016-01-13, DE</w:t>
      </w:r>
    </w:p>
    <w:p>
      <w:r>
        <w:rPr>
          <w:b/>
        </w:rPr>
        <w:t xml:space="preserve">Quelle: </w:t>
      </w:r>
      <w:r>
        <w:t>https://mcp.opencaselaw.ch/entscheid/bvger_D-637_2015</w:t>
      </w:r>
    </w:p>
    <w:p>
      <w:r>
        <w:t>FR: TAF D-637/2015 du 13 janvier 2016</w:t>
      </w:r>
    </w:p>
    <w:p>
      <w:r>
        <w:t>IT: TAF D-637/2015 del 13 gennaio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wird aus prozessökonomischen Gründen in Englisch akzeptiert, und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die Vorinstanz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von der Beschwerdeführerin geltend gemachtem Schwierigkeiten und Behelligungen keine einreiserelevante Bedeutung zukommt. Es kann deshalb vorab auf die vorinstanzlichen Erwägungen verwiesen werden (vgl. vorstehend unter E.). An dieser Einschätzung können auch die weiteren Ausführungen der Beschwerdeführerin in ihrer Rechtsmitteleingabe nichts ändern, zumal sie im Wesentlichen an der von ihr geltend gemachten Gefährdungssituation in Sri Lanka festhält. Das Bundesverwaltungsgericht schliesst sich somit den Ausführungen der Vorinstanz vollumfänglich an, zumal sich aus der Beschwerde nichts ergibt, was die Erwägungen der Vorinstanz entkräften könnte.</w:t>
      </w:r>
    </w:p>
    <w:p>
      <w:r>
        <w:rPr>
          <w:b/>
        </w:rPr>
        <w:t>E. 6.4</w:t>
      </w:r>
    </w:p>
    <w:p>
      <w:r>
        <w:t>Somit ist es der Beschwerdeführerin nicht gelungen, eine aktuelle Gefähr­dung im Sinne von Art. 3 AsylG aufzuzeigen, welche die Bewilligung der Einreise in die Schweiz rechtfertigen würde. Die Schutzbedürftigkeit der Beschwerdeführerin im Sinne von aArt. 20 i.V.m. Art. 3 AsylG ist nicht gegeben. Im Übrigen ist auch eine Beziehungsnähe der Beschwerdefüh­rerin zur Schweiz zu verneinen (aArt. 52 Abs. 2 AsylG). Die Vorinstanz hat der Beschwerdeführerin zu Recht die Einreise in die Schweiz verweigert und das Asylgesuch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