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D-637/2013 vom 14. Februar 2013</w:t>
      </w:r>
    </w:p>
    <w:p>
      <w:r>
        <w:t>Bundesverwaltungsgericht, 2013-02-14, DE</w:t>
      </w:r>
    </w:p>
    <w:p>
      <w:r>
        <w:rPr>
          <w:b/>
        </w:rPr>
        <w:t xml:space="preserve">Quelle: </w:t>
      </w:r>
      <w:r>
        <w:t>https://mcp.opencaselaw.ch/entscheid/bvger_D-637_2013</w:t>
      </w:r>
    </w:p>
    <w:p>
      <w:r>
        <w:t>FR: TAF D-637/2013 du 14 février 2013</w:t>
      </w:r>
    </w:p>
    <w:p>
      <w:r>
        <w:t>IT: TAF D-637/2013 del 14 febbraio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in casu nicht zutrifft - bei Vorliegen eines Aus­lieferungsgesuches des Staates, vor welchem die beschwerde­führende Partei Schutz sucht (Art. 105 AsylG;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weshalb der Beschwerdeentscheid nur summarisch zu begründen ist (Art. 111a Abs. 2 AsylG). Gestützt auf Art. 111a Abs. 1 AsylG wurde auf die Durchführung eines Schriftenwechsels verzichtet.</w:t>
      </w:r>
    </w:p>
    <w:p>
      <w:r>
        <w:rPr>
          <w:b/>
        </w:rPr>
        <w:t>E. 4</w:t>
      </w:r>
    </w:p>
    <w:p>
      <w:r>
        <w:t>Vorab ist festzustellen, dass im Gesuch vom 18. Juni 2012, welches Gegenstand des vorinstanzlichen Verfahrens war, keine persönliche Verfolgung B._______ der Beschwerdeführerin im Sinne von Art. 3 AsylG geltend gemacht wird. Mithin ist dieses praxisgemäss nicht nach Treu und Glauben als Asylgesuch aus dem Ausland im Sinne von Art. 20 AsylG zu verstehen. Somit entfällt auch die gemäss Praxis der Prüfung des derivativen Anspruchs auf Anerkennung als Flüchtling vorangehende Überprüfung, ob der Beschwerdeführer die Flüchtlingseigenschaft originär, aufgrund einer eigenen persönlichen Gefährdung erfüllt (vgl. BVGE 2007/19 E. 3). Nach dem Gesagten sind vorliegend einzig die Voraussetzungen der Bewilligung der Einreise B._______ der Beschwerdeführerin in die Schweiz gestützt auf Art. 51 AsylG (Familiennachzug) zu prüfen beziehungsweise ob diesem unter Einbezug in die Flüchtlingseigenschaft seiner Mutter in der Schweiz Asyl zu gewähren ist.</w:t>
      </w:r>
    </w:p>
    <w:p>
      <w:r>
        <w:rPr>
          <w:b/>
        </w:rPr>
        <w:t>E. 5.1</w:t>
      </w:r>
    </w:p>
    <w:p>
      <w:r>
        <w:t>Gemäss Art. 51 Abs. 1 und 4 AsylG wird minderjährigen Kindern von Flüchtlingen die Einreise auf Gesuch hin bewilligt, wenn sie durch die Flucht getrennt wurden und sie sich im Ausland befinden. Nach der Einreise werden die minderjährigen Kinder von Flüchtlingen als Flüchtlinge anerkannt und erhalten Asyl, wenn keine besonderen Umstände dagegen sprechen.</w:t>
      </w:r>
    </w:p>
    <w:p>
      <w:r>
        <w:rPr>
          <w:b/>
        </w:rPr>
        <w:t>E. 5.2</w:t>
      </w:r>
    </w:p>
    <w:p>
      <w:r>
        <w:t>Die Beschwerde beschränkt sich sinngemäss auf eine Wieder­holung der bisherigen Vorbringen. Zusätzlich wird ausgeführt, das BFM habe übersehen, dass die Beschwerdeführerin nicht freiwillig nicht mit B._______ zusammengelebt habe. Sie sei mit dem Kindsvater nicht verheiratet gewesen. Ihr habe im Jahr (...) das Sorgerecht zugestanden. Der Kindsvater habe B._______ nicht nur nach D._______ entführt, sondern sich auch während (...) nicht bei ihr gemeldet und sie über (...) Schicksal im Unklaren gelassen. Dies habe sie bereits im Rahmen ihres eigenen Asylverfahrens dargelegt. Das BFM habe auch übersehen, dass der Kindsvater, welcher B._______ entführt habe, und dessen Familie B._______ nicht die erforderliche Für­sorge zukommen liessen (vgl. Beschwerde S. 3-4).</w:t>
      </w:r>
    </w:p>
    <w:p>
      <w:r>
        <w:rPr>
          <w:b/>
        </w:rPr>
        <w:t>E. 5.3</w:t>
      </w:r>
    </w:p>
    <w:p>
      <w:r>
        <w:t>Eine Überprüfung der Akten ergibt, dass die Vorinstanz zu Recht die Einreise B._______ der Beschwerdeführerin in die Schweiz nicht bewilligt und das Gesuch um Familienasyl abgelehnt hat (vgl. Sachverhalt Bst. B und E). Insbesondere erweist sich der Einwand, die Vorinstanz habe übersehen, dass B._______ durch (...) Vater entführt worden sei, als unbegründet. Unbenommen davon vermag dieser Umstand nichts daran zu ändern, dass die Mutter vor ihrer Flucht im Jahr (...) über (...) lang nicht mit B._______ zusammengelebt hat und mithin die Familiengemeinschaft nicht durch Flucht getrennt wurde, womit die vorerwähnte Voraussetzung für die Bewilligung der Einreise in die Schweiz beziehungsweise die Gewährung von Familienasyl nicht gegeben ist. Das BFM hat in diesem Zusammenhang in seiner Verfügung im Übrigen zu Recht auf die Möglichkeit der Beschwerdeführerin hingewiesen, als Inhaberin einer Aufenthaltsbewilligung B beim zuständigen Kanton gestützt auf das AuG ein entsprechendes Familiennachzugsgesuch einzureichen. Schliesslich sei immerhin noch erwähnt, dass die Beschwerdeführerin im Rahmen ihres Asylverfahrens bei ihrer seinerzeitigen ersten Anhörung beim BFM am 12. August 2010 den Vornamen ihres damaligen Lebenspartners nicht mit F._______ sondern mit G._______ angab und weiter ausführte, keine Ahnung zu haben, wo sich dieser und B._______ heute in D._______ aufhalten würden.</w:t>
      </w:r>
    </w:p>
    <w:p>
      <w:r>
        <w:rPr>
          <w:b/>
        </w:rPr>
        <w:t>E. 5.4</w:t>
      </w:r>
    </w:p>
    <w:p>
      <w:r>
        <w:t>Zusammenfassend ist festzuhalten, dass die Voraussetzungen für den Einschluss B._______ der Beschwerdeführerin in das Familienasyl gemäss Art. 51 Abs. 1 AsylG beziehungsweise die Bewilligung seiner Einreise in die Schweiz gemäss Art. 51 Abs. 4 AsylG nicht gegeben sind. Das BFM hat somit die Einreise von B._______ in die Schweiz und das Familienasylgesuch zu Recht abge-lehnt.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der Beschwerdeführerin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Damit ist das Gesuch um Gewährung der unentgeltlichen Prozessführung gegenstandslos geworden. Dasselbe gilt aufgrund des direkten Entscheids für das Gesuch um Verzicht auf die Erhebung eines Kostenvorschusses, weshalb über diese beiden Gesuche nicht zu befinden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