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D-637/2011 vom 24. August 2011</w:t>
      </w:r>
    </w:p>
    <w:p>
      <w:r>
        <w:t>Bundesverwaltungsgericht, 2011-08-24, DE</w:t>
      </w:r>
    </w:p>
    <w:p>
      <w:r>
        <w:rPr>
          <w:b/>
        </w:rPr>
        <w:t xml:space="preserve">Quelle: </w:t>
      </w:r>
      <w:r>
        <w:t>https://mcp.opencaselaw.ch/entscheid/bvger_D-637_2011</w:t>
      </w:r>
    </w:p>
    <w:p>
      <w:r>
        <w:t>FR: TAF D-637/2011 du 24 août 2011</w:t>
      </w:r>
    </w:p>
    <w:p>
      <w:r>
        <w:t>IT: TAF D-637/2011 del 24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Beschwerdeschrift ist weder ein Begehren um Gewährung von Asyl noch ein solches um Aufhebung der Wegweisung zu entnehmen. Die Ziffern 2 und 3 des Dispositivs der angefochtenen Verfügung sind mit Ablauf der 30-tägigen Rechtsmittelfrist in Rechtskraft erwachsen. Beschwerdegegenstand bilden demnach nur die Feststellung der Flüchtlingseigenschaft und der Vollzug der Wegweisung.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Herkunftsland eine Gefährdungssituation erst geschaffen worden ist, macht subjektive Nachfluchtgründe geltend (vgl. Art. 54 AsylG).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mit weiteren Hinweisen).</w:t>
      </w:r>
    </w:p>
    <w:p>
      <w:r>
        <w:rPr>
          <w:b/>
        </w:rPr>
        <w:t>E. 6.1</w:t>
      </w:r>
    </w:p>
    <w:p>
      <w:r>
        <w:t>In seiner Rechtsmitteleingabe macht der Beschwerdeführer im Wesentlichen geltend, der Beschwerdeführer habe sich in der Schweiz politisch betätigt, nämlich als Mitglied der KINJIT wie auch der AES. Im Rahmen seiner Mitgliedschaft habe er an diversen öffentlichen Veranstaltungen und Demonstrationen gegen die äthiopische Regierung teilgenommen. Entgegen der Einschätzung der Vorinstanz verfüge der Beschwerdeführer über ein qualifiziertes politisches Profil. Die Mitgliedschaft in mehreren regimekritischen Exilorganisationen deute klar darauf hin. Entgegen der Annahme der Vorinstanz überwachten die äthiopischen Behörden die Aktivitäten ihrer Staatsangehörigen in Europa sehr genau. Ausserdem habe das äthiopische Aussenministerium am 31. Juli 2006 eine neue Weisung erlassen, welche in casu von erheblicher Relevanz sei. In dieser Weisung würden sämtliche äthiopischen Auslandsvertretungen aufgefordert, Informationen über sogenannte "extreme Elemente" im Ausland zu sammeln und deren Namen an die Zentrale in Addis Abeba weiterzuleiten. Die exilpolitischen Aktivitäten des Beschwerdeführers hätten im Falle einer Rückkehr mit hoher Wahrscheinlichkeit politische Verfolgung zur Folge, nicht zuletzt aufgrund seines unermüdlichen Eintretens für eine Demokratisierung Äthiopiens. Eine objektive Betrachtungsweise führe zum Schluss, die Aktivitäten des Beschwerdeführers hätten durchaus ein Ausmass erreicht, welches geeignet sei, ein ernsthaftes Vorgehen der äthiopischen Behörden zu bewirken beziehungsweise eine konkrete Gefährdung im Falle einer Rückkehr nach Äthiopien zu begründen. Schliesslich sei der Wegweisungsvollzug dem Beschwerdeführer auch nicht zuzumuten, weil er den eingereichten Arztzeugnissen zufolge an einer psychosomatischen Erkrankung leide, für die in Äthiopien keine zureichenden medizinischen Behandlungsmöglichkeiten bestünden oder für den Beschwerdeführer aus finanziellen Gründen unerreichbar seien.</w:t>
      </w:r>
    </w:p>
    <w:p>
      <w:r>
        <w:rPr>
          <w:b/>
        </w:rPr>
        <w:t>E. 6.2</w:t>
      </w:r>
    </w:p>
    <w:p>
      <w:r>
        <w:t>Aus der Rechtsmitteleingabe ergibt sich als Rüge die Verletzung von Bundesrecht, indem dem Beschwerdeführer zu Unrecht die Flüchtlingseigenschaft nicht zuerkannt worden sei. Wie jedoch bereits in der Zwischenverfügung vom 28. Januar 2011 festgestellt, kommt nun das Bundesverwaltungsgericht auch nach einer vertieften Prüfung der vorliegenden Akten zum Schluss, dass die Schlussfolgerungen der Vorinstanz zutreffen und die Ausführungen im Beschwerdeverfahren nicht geeignet sind, diese zu entkräften. Zwar hat der Beschwerdeführer im ersten Asylverfahren eine Verfolgungssituation geltend gemacht, doch haben sich die entsprechenden Vorbringen als unglaubhaft erwiesen. Dementsprechend gibt es keinen Anlass zur Annahme, der Beschwerdeführer sei vor seiner Ausreise ins Blickfeld der äthiopischen Behörden geraten. Bezüglich seines dargelegten exilpolitischen Engagements gelangt auch das Bundesverwaltungsgericht zum Schluss, dass insgesamt keine subjektiven Nachfluchtgründe vorliegen. Für die Einschätzung einer Verfolgungsgefahr sind Positionen (z.B. Vorsitzende/r einer Exilgruppe), Form und Einfluss von Aktionen (z.B. gewaltsamer Protest) massgeblich (vgl. allgemein zum Grad der Exponierung bei exilpolitischen Tätigkeiten auch BVGE 2009/28 E. 7.4.3 S. 364 f., Urteile des Bundesverwaltungsgerichts D-5231/2006 vom 18. September 2009 E.5.2, E-4390/2006 vom 27. August 2009 E.3.4.3 und D-5907/2006 vom 16. Juli 2009 E.4.5.3). Dabei ist nicht primär das Hervortreten im Sinne einer optischen Erkennbarkeit und Individualisierbarkeit, sondern eine derartige Exponierung in der Öffentlichkeit massgebend, die den Eindruck erweckt, dass der Asylsuchende zu einer Gefahr für den Bestand des äthiopischen Systems wird. Dass die äthiopischen Sicherheitsbehörden zwischen tatsächlich politisch engagierten Regimekritikern und Exilaktivisten, die mit ihren Aktionen in erster Linie die Chancen auf ein Aufenthaltsrecht zu erhöhen versuchen, zu unterscheiden vermögen, darf auch unter Berücksichtigung der aktuellen Lage im Äthiopien vorausgesetzt werden. Bei dieser Sachlage liegt beim Beschwerdeführer kein subjektiver Nachfluchtgrund im Sinne von Art. 54 AsylG vor, und dies umso weniger, als im vorliegenden Fall jegliche aktenkundige Hinweise darauf fehlen, dass gegen ihn aufgrund der exilpolitischen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abzuklären. Im Übrigen wird zur Vermeidung von Wiederholungen auf die Erwägungen der Vorinstanz und die Zwischenverfügung des Gerichts vom 28. Januar 2011 verwiesen. Die erhobene Rüge (Verletzung von Bundesrecht) erweist sich nach dem Gesagten als unbegründet.</w:t>
      </w:r>
    </w:p>
    <w:p>
      <w:r>
        <w:rPr>
          <w:b/>
        </w:rPr>
        <w:t>E. 6.3</w:t>
      </w:r>
    </w:p>
    <w:p>
      <w:r>
        <w:t>Aufgrund der vorstehenden Erwägungen erübrigt es sich, auf die übrigen Ausführungen in der Beschwerde und die als Beweismittel eingereichten Dokumente einzugehen, weil sie am Ergebnis nichts ändern können. Unter Berücksichtigung der gesamten Umstände folgt, dass der Beschwerdeführer keine Gründe nach Art. 3 AsylG nachweisen oder glaubhaft machen konnte und er auch die Voraussetzungen für die Anerkennung von subjektiven Nachfluchtgründen im Sinne von Art. 54 AsylG nicht erfüllt. Das BFM hat demzufolge die Flüchtlingseigenschaft des Beschwerdeführers zu Recht verneint.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Demgegenüber lässt der Beschwerdeführer In seiner Beschwerdeschrift die Zulässigkeit des Wegweisungsvollzugs unter dem Gesichtspunkt seiner medizinischen Versorgung in Frage stellen. Wie sich indessen bereits aus dem in der Beschwerdeschrift zitierten Bericht vom 10. Juni 2009 der Schweizerischen Flüchtlingshilfe (SFH) zur psychiatrischen Versorgung in Äthiopien ergibt, existieren allein in Addis Abeba 53 psychiatrische nicht-stationäre Behandlungszentren, sechs stationäre Behandlungszentren und eine psychiatrische Klinik. Daneben gibt es in dieser Stadt Kliniken, die auch psychisch Erkrankte aufnehmen, sowie eine grössere Anzahl Spitäler für die somatische Medizin. Demnach ist nicht davon auszugehen, die Leiden des Beschwerdeführers (Oberbauchschmerzen, Colon irritabile mit Neigung zur Verstopfung, Hämorrhoiden, soziale Phobie, leichte depressive Episode) seien in Addis Abeba nicht behandelbar.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Äthiopien herrscht zurzeit keine Situation allgemeiner Gewalt, weshalb in konstanter Praxis von der generellen Zumutbarkeit des Wegweisungsvollzugs nach Äthiopien ausgegangen wird (vgl. bspw. D-4738/2010 vom 3. Februar 2011; bereits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8.4.2</w:t>
      </w:r>
    </w:p>
    <w:p>
      <w:r>
        <w:t>Im Weiteren ist das Vorliegen individueller Wegweisungshindernisse des Beschwerdeführers zu prüfen. Wie sich aus den Akten ergibt, wurden die individuellen Wegweisungshindernisse, welche sich nicht auf den Gesundheitszustand beziehen, bereits im Rahmen des ersten Asylverfahrens beurteilt; in diesem Zusammenhang wurde die Zumutbarkeit des Wegweisungsvollzugs bejaht. Wie sich aus prozessualen Grundsätzen ergibt, kann die bereits beurteilte Sachverhaltsdarstellung des Beschwerdeführers nicht erneut Gegenstand einer materiellen Beurteilung im Rahmen eines zweiten Asylverfahrens bilden (res iudicata; FRITZ GYGI, Bundesverwaltungsrechtspflege, 2. Aufl., Bern 1983, S. 322 f.; ALFRED KÖLZ/ISABELLE HÄNER, Verwaltungsverfahren und Verwaltungsrechtspflege des Bundes, 2. Aufl., Zürich 1998, S. Rz. 715). Dementsprechend geht es nachstehend einzig noch um die Beurteilung der vom Beschwerdeführer für die Zeit nach dem 24. November 2003 geltend gemachten medizinischen Probleme. Ob diese nach der Rückkehr des Beschwerdeführers nach Addis Abeba vollumfänglich bestehen bleiben, ist indessen fraglich, wird doch im Arztzeugnis vom 1. Dezember 2008 der psychiatrischen Poliklinik des O._______ ausdrücklich festgehalten, die Ärzte gingen davon aus, "dass sowohl das Auftreten der sozialen Phobie als auch der depressiven Entwicklung durch die Flucht aus der Heimat, den Verlust der gewohnten sozialen Umgebung, wichtiger Bezugspersonen (...) und seiner Arbeit begünstigt wird." Dies bedeutet, dass nach Auffassung der Ärzte der weitere Verbleib des Beschwerdeführers in der Schweiz jedenfalls unter psychologischen Gesichtspunkten eher kontraindiziert ist und mit der Rückkehr in den Heimatstaat eine Verbesserung der psychischen Befindlichkeit einhergehen könnte. Trotzdem mag die Behandlungsbedürftigkeit des Beschwerdeführers auch nachher noch eine Weile andauern. Für diese Eventualität gilt es auf die Möglichkeit des Beschwerdeführers hinzuweisen, ein Gesuch um medizinische Rückkehrhilfe nach Art. 93 Abs. 1 Bst. d AsylG beim BFM einzureichen. Diese Möglichkeit steht ihm auch in Bezug auf die psychosomatischen Oberbauchschmerzen zur Verfügung. Dementsprechend gibt es keinen Anlass zur Annahme, er werde im Heimatstaat faktisch keinen Zugang zu einer analogen medizinischen Betreuung haben. Schliesslich gilt es darauf hinzuweisen, dass dem oben erwähnten Bericht der SFH zufolge mittellose Personen durch den Staat eine kostenlose Gesundheitsversorgung erhalten, weshalb er auch dann nicht ohne medizinische Versorgung bliebe, falls es ihm wider Erwarten nicht gelingen sollte, an seine achtjährige Berufserfahrung als Fahrer (vgl. Akten BFM A2/9 Ziff. 8 S. 2) anzuknüpfen und seinen Lebensunterhalt (und zusätzlich Pillen, Tropfen und Salben) aus eigener Kraft zu bestreiten.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9. Februar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