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D-6377/2007 vom 15. März 2010</w:t>
      </w:r>
    </w:p>
    <w:p>
      <w:r>
        <w:t>Bundesverwaltungsgericht, 2010-03-15, DE</w:t>
      </w:r>
    </w:p>
    <w:p>
      <w:r>
        <w:rPr>
          <w:b/>
        </w:rPr>
        <w:t xml:space="preserve">Quelle: </w:t>
      </w:r>
      <w:r>
        <w:t>https://mcp.opencaselaw.ch/entscheid/bvger_D-6377_2007</w:t>
      </w:r>
    </w:p>
    <w:p>
      <w:r>
        <w:t>FR: TAF D-6377/2007 du 15 mars 2010</w:t>
      </w:r>
    </w:p>
    <w:p>
      <w:r>
        <w:t>IT: TAF D-6377/2007 del 15 marzo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und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28. Dezember 2006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w:t>
      </w:r>
    </w:p>
    <w:p>
      <w:r>
        <w:t>Das BFM begründete die Aufhebung der vorläufigen Aufnahme damit, der Vollzug der Wegweisung des Beschwerdeführers, dessen Asylgesuch abgewiesen und dessen Flüchtlingseigenschaft rechtskräftig verneint worden sei, verstosse nicht gegen das Refoulement-Verbot. Den Akten seien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Suleimaniya herrsche sodann aufgrund der Sicherheits- und Menschenrechtslage keine Situation allgemeiner Gewalt, weshalb der Wegweisungsvollzug grundsätzlich zumutbar sei. Beim Beschwerdeführer handle es sich sodann um einen jungen und gesunden Mann, der sein Leben bis zur Ausreise in Erbil verbracht und dort auch gearbeitet habe. Zudem verfüge er dort über ein soziales Beziehungsnetz (Vater, Stiefmutter sowie Geschwister), welches ihm in der Anfangsphase bei der Reintegration unterstützend zur Seite stehen könne. Überdies stehe es dem Beschwerdeführer offen, vom Angebot der Rückkehrhilfe Gebrauch zu machen.</w:t>
      </w:r>
    </w:p>
    <w:p>
      <w:r>
        <w:rPr>
          <w:b/>
        </w:rPr>
        <w:t>E. 6</w:t>
      </w:r>
    </w:p>
    <w:p>
      <w:r>
        <w:t>In der Beschwerdeschrift wird im Wesentlichen geltend gemacht, die Situation im Nordirak sei bei weitem nicht so gesichert, wie die Vorinstanz dies festgestellt habe. Das Positionspapier der SFH vom 25. Juni 2007 gebe über die aktuelle Lage im ganzen Irak, wie auch speziell in den genannten nordirakischen Provinzen, Auskunft. Unter Hinweis auf diverse Zeitungsartikel wird insbesondere auf die internen Spannungen im kurdischen Nordirak, welche indirekt durch die hohe Zahl von landesintern Vertriebenen und direkt durch den Konflikt zwischen der türkischen Armee und den Kurden im Nordirak bedingt seien, hingewiesen. Weiter sei die kurdische Regionalregierung nicht bereit, einer unfreiwilligen Rückkehr zuzustimmen. Es erscheine deshalb sinnwidrig, Wegweisungsvollzüge in den Nordirak für zumutbar und möglich zu erachten.</w:t>
      </w:r>
    </w:p>
    <w:p>
      <w:r>
        <w:rPr>
          <w:b/>
        </w:rPr>
        <w:t>E. 7.1.1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Uebersax/Rudin/Yar/Geiser [Hrsg.], Ausländerrecht, 2. Aufl., Basel 2009 Rz. 11.67, S. 546 f.).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das Bundesamt mit Verfügung vom 28. Dezember 2006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Wie bereits erwähnt, wurden die Vorbringen des Beschwerdeführers betreffend die Fluchtgründe im ordentlichen Verfahren rechtskräftig als nicht asylrelevant qualifiziert. Im vorliegenden Beschwerdeverfahren wurde diesbezüglich nichts Neues vorgebracht. Die Eingabe enthält keinerlei auf die Situation des Beschwerdeführers bezogene, individuell-konkrete Ausführungen. Deshalb ist nicht davon auszugehen, er sei wegen der vorgebrachten allgemeinen Gewaltsituation an Leib und Leben bedroht. Auch die allgemeine Menschenrechtssituation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Das Bundesverwaltungsgericht ist im Frühjahr 2008 - fast sechs Monate nach Erhebung der vorliegenden Beschwerde -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der in der Beschwerde erwähnte Bericht der SFH vom 25. Juni 2007 sowie die Zeitungsberichte, welche der Beschwerdeschrift beigelegt wurden, nichts zu ändern. Die im erwähnten Urteil vorgenommene Lageeinschätzung basiert auf einer grossen Zahl von Berichten verschiedener Organisationen, darunter auch der SFH und von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(vgl.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heute bald 24-jährige Beschwerdeführer gerate im Falle der Rückkehr in die nordirakische Provinz Erbil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im Jahre 2006 in Erbil gelebt und zuerst auf dem Bau und danach als Polizist gearbeitet. Ende August 2006 habe er sich dazu entschlossen, Agronomie zu studieren (vgl. A1/11 S. 1 bis 3). Er habe nie Probleme mit irgendwelchen Behörden im Irak gehabt (A1/11 S. 7). Ergänzend ist darauf hinzuweisen, dass allfällige wirtschaftliche Schwierigkeiten nach der weiterhin gültigen Rechtsprechung der ehemaligen Schweizerischen Asylrekurskommission (ARK) keine existenzbedrohende Situation darstellen, welche den Vollzug der Wegweisung in den Heimatstaat als unzumutbar erscheinen lassen (EMARK 2003 Nr. 24 E. 5.e S. 159). Gestützt auf die vorstehenden Erwägungen ist der Vollzug der Wegweisung sowohl vor dem Hintergrund der allgemeinen Lage im Nordirak als auch in individueller Hinsicht als zumutbar zu erachten.</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Aufhebung der vorläufigen Aufnahme zu bestätigen. Die Vorinstanz hat den Vollzug zu Recht als zulässig, zumutbar und möglich erachtet (Art. 83 Abs. 1-4 AuG).</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