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D-6367/2019 vom 27. August 2020</w:t>
      </w:r>
    </w:p>
    <w:p>
      <w:r>
        <w:t>Bundesverwaltungsgericht, 2020-08-27, DE</w:t>
      </w:r>
    </w:p>
    <w:p>
      <w:r>
        <w:rPr>
          <w:b/>
        </w:rPr>
        <w:t xml:space="preserve">Quelle: </w:t>
      </w:r>
      <w:r>
        <w:t>https://mcp.opencaselaw.ch/entscheid/bvger_D-6367_2019</w:t>
      </w:r>
    </w:p>
    <w:p>
      <w:r>
        <w:t>FR: TAF D-6367/2019 du 27 août 2020</w:t>
      </w:r>
    </w:p>
    <w:p>
      <w:r>
        <w:t>IT: TAF D-6367/2019 del 27 agosto 2020</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so ist ihre Einreise auf Gesuch zu bewilligen (Art. 51 Abs. 4 AsylG).</w:t>
      </w:r>
    </w:p>
    <w:p>
      <w:r>
        <w:rPr>
          <w:b/>
        </w:rPr>
        <w:t>E. 4.2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w:t>
      </w:r>
    </w:p>
    <w:p>
      <w:r>
        <w:rPr>
          <w:b/>
        </w:rPr>
        <w:t>E. 4.3</w:t>
      </w:r>
    </w:p>
    <w:p>
      <w:r>
        <w:t>Wer um die Erteilung einer Einreisebewilligung zwecks Familienasyl ersucht, hat die Zugehörigkeit des nachzuziehenden Angehörigen zur Familiengemeinschaft, die im Zeitpunkt der Flucht vorbestanden hatt, die Familientrennung durch die Flucht sowie die fest beabsichtigte Familienvereinigung beider Anspruchsberechtigter nachzuweisen oder zumindest glaubhaft zu machen (Art. 7 AsylG; vgl. BVGE 2010/57 E. 2.2 und 2.3).</w:t>
      </w:r>
    </w:p>
    <w:p>
      <w:r>
        <w:rPr>
          <w:b/>
        </w:rPr>
        <w:t>E. 5.1</w:t>
      </w:r>
    </w:p>
    <w:p>
      <w:r>
        <w:t>Die Vorinstanz begründete ihre Verfügung damit, dass vorliegend nicht von einer gelebten eheähnlichen Beziehung zwischen dem Beschwerdeführer und R A. vor der Flucht ausgegangen werden könne. Bei R.A. handle es sich um die Cousine des Beschwerdeführers, mit welcher er im Zeitraum 2012/2013 in Syrien eine Jugendbeziehung geführt habe. Angesichts ihrer damaligen Minderjährigkeit könne auch nicht davon ausgegangen werden, dass die Beziehung auf gegenseitigen sozialen und wirtschaftlichen Beistand ausgelegt gewesen sei. Die Tatsache, dass der Beschwerdeführer und R.A. nie in einem gemeinsamen Haushalt gelebt hätten, bestärke diese Schlussfolgerung. Da somit nicht von einer vorbestandenen Familiengemeinschaft zwischen dem Beschwerdeführer und R.A. in Syrien ausgegangen werden könne, vermöchten auch die eingereichten Dokumente (Eheschliessungsurkunde, Heiratsvertrag), die eine angeblich 2019 in Syrien erfolgte Eheschliessung des Beschwerdeführers mit R.A. belegen sollen, nichts zu ändern.</w:t>
      </w:r>
    </w:p>
    <w:p>
      <w:r>
        <w:rPr>
          <w:b/>
        </w:rPr>
        <w:t>E. 5.2</w:t>
      </w:r>
    </w:p>
    <w:p>
      <w:r>
        <w:t>In seiner Beschwerde macht der Beschwerdeführer unter Wiederholung seiner Vorbringen geltend, er habe R.A. am 19. Mai 2019 in absentia geheiratet. Eine Eheschliessung sei zuvor nicht möglich gewesen, weil R.A. noch minderjährig gewesen sei. Falls ihnen eine Wiedervereinigung in der Schweiz verweigert werde, befinde sich R.A. in Syrien in Gefahr, getötet zu werden, weil sie nicht mehr jungfräulich sei. Insgesamt liege «ohne Zweifel» eine vorbestandene eheähnliche Gemeinschaft vor.</w:t>
      </w:r>
    </w:p>
    <w:p>
      <w:r>
        <w:rPr>
          <w:b/>
        </w:rPr>
        <w:t>E. 5.3</w:t>
      </w:r>
    </w:p>
    <w:p>
      <w:r>
        <w:t>Die vorinstanzliche Schlussfolgerung, dass die Voraussetzungen für die asylrechtliche Familienzusammenführung gemäss Art. 51 Abs. 1 und 4 AsylG vorliegend nicht erfüllt sind, sind zu bestätigen. Auf Beschwerdeebene wird dem nichts Stichhaltiges entgegengestellt. Der Beschwerdeführer war zum Zeitpunkt seiner Ausreise aus Syrien mit R.A. nicht verheiratet und hat mir ihr nicht zusammengelebt. Die Vorinstanz kam somit zutreffend zum Ergebnis, dass zwischen dem Beschwerdeführer und R.A. zu keinem Zeitpunkt eine vorbestandene Familiengemeinschaft erkennbar war. Damit fehlt es an dem für eine Familienzusammenführung aus dem Ausland im Sinne von Art. 51 Abs. 4 AsylG zwingenden Erfordernis einer bereits vor der Flucht aus dem Verfolgerstaat bestandenen Familiengemeinschaft. Das SEM hat das Gesuch um Familienzusammenführung im Sinne von Art. 51 Abs. 1 und 4 AsylG somit zu Recht abgelehnt und der im Ausland wohnhaften R.A. die Einreise in die Schweiz verweigert. Es bleibt darauf hinzuweisen, dass die in der Beschwerde geltend gemachte Gefährdungssituation von R.A. in Syrien (Todesgefahr wegen verlorener Jungfräulichkeit) nicht Gegenstand des vorliegenden Verfahrens sein kann.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