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D-6365/2015 vom 20. November 2015</w:t>
      </w:r>
    </w:p>
    <w:p>
      <w:r>
        <w:t>Bundesverwaltungsgericht, 2015-11-20, FR</w:t>
      </w:r>
    </w:p>
    <w:p>
      <w:r>
        <w:rPr>
          <w:b/>
        </w:rPr>
        <w:t xml:space="preserve">Quelle: </w:t>
      </w:r>
      <w:r>
        <w:t>https://mcp.opencaselaw.ch/entscheid/bvger_D-6365_2015</w:t>
      </w:r>
    </w:p>
    <w:p>
      <w:r>
        <w:t>FR: TAF D-6365/2015 du 20 novembre 2015</w:t>
      </w:r>
    </w:p>
    <w:p>
      <w:r>
        <w:t>IT: TAF D-6365/2015 del 20 novembre 2015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du 18 septembre 2015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décision, au sens des considérants.</w:t>
      </w:r>
    </w:p>
    <w:p>
      <w:r>
        <w:rPr>
          <w:b/>
        </w:rPr>
        <w:t>E. 4</w:t>
      </w:r>
    </w:p>
    <w:p>
      <w:r>
        <w:t>Il n'est pas perçu de frais de procédure, ni alloué de dépens.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