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D-6365/2011 vom 16. April 2012</w:t>
      </w:r>
    </w:p>
    <w:p>
      <w:r>
        <w:t>Bundesverwaltungsgericht, 2012-04-16, DE</w:t>
      </w:r>
    </w:p>
    <w:p>
      <w:r>
        <w:rPr>
          <w:b/>
        </w:rPr>
        <w:t xml:space="preserve">Quelle: </w:t>
      </w:r>
      <w:r>
        <w:t>https://mcp.opencaselaw.ch/entscheid/bvger_D-6365_2011</w:t>
      </w:r>
    </w:p>
    <w:p>
      <w:r>
        <w:t>FR: TAF D-6365/2011 du 16 avril 2012</w:t>
      </w:r>
    </w:p>
    <w:p>
      <w:r>
        <w:t>IT: TAF D-6365/2011 del 16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festzuhalten, dass das Bundesverwaltungsgericht in seinem Urteil betreffend H.M. (gleicher Zeitpunkt wie das vorliegende; gleicher Rechtsvertreter) dessen Asylvorbringen als unglaubhaft erachtetete und deshalb das Asylgesuch ablehnte. Die Beschwerdeführerin leitete ihre Verfolgungssituation von H.M. ab. Unter diesem Gesichtspunkt erweist sich der Sachvortrag der Beschwerdeführerin ebenfalls als unglaubhaft. Eine Prüfung der Akten ergibt zudem, dass ihre Aussagen allein für sich besehen anlässlich der beiden Anhörungen, den Anforderungen an die Glaubhaftigkeit gemäss Art. 7 AsylG auch nicht zu genügen vermögen. Mit Ausnahme der Ausführungen bezüglich des unterschiedlich geschilderten Aufenthaltsortes seit Mai 2008 in H._______ zwischen der Beschwerdeführerin und H.M. geben die übrigen Erwägungen des BFM in der angefochtenen Verfügung jedenfalls zu keinen Beanstandungen Anlass. Zur Vermeidung von Wiederholungen kann daher auf diese verwiesen werden. Hinsichtlich des unterschiedlich geschilderten Aufenthaltsortes gilt alsdann festzuhalten, dass die diesbezügliche Argumentation der Vorinstanz in Berücksichtigung der Rechtsprechung (Entscheidungen und Mitteilungen der Schweizerischen Asylrekurskommission [EMARK] 1994 Nr. 14) nicht hätte herangezogen werden dürfen. Indes bewirkt dieser Mangel aber keine Änderung der angefochtenen Verfügung, da sich dieses Begründungselement im Gesamtkontext als von untergeordneter Bedeutung herausstellt und letztlich ohne Einfluss auf das Ergebnis des Urteils bleibt. Angesichts dieser Sachlage braucht auf die Erklärung in der Beschwerde nicht eingegangen zu werden, wonach die Eheleute in diesem Zusammenhang offenbar von verschiedenen Zeitpunkten gesprochen hätten.</w:t>
      </w:r>
    </w:p>
    <w:p>
      <w:r>
        <w:rPr>
          <w:b/>
        </w:rPr>
        <w:t>E. 4.2</w:t>
      </w:r>
    </w:p>
    <w:p>
      <w:r>
        <w:t>Die Ausführungen in der Rechtsmitteleingabe sind nicht geeignet, die Argumentation der Vorinstanz zu widerlegen. Die Behauptung der Beschwerdeführerin, sie habe nicht ausgesagt, von Anhängern Ter-Petrossians, den Levonakans, verfolgt worden zu sein, findet in den Akten keine Stütze. Vor allem kann von einem in diesem Zusammenhang erhobenen Vorwurf der Falschprotokollierung oder -übersetzung respektive dem Hinweis auf das Vorliegen eines fundamentalen Missverständnisses nicht die Rede sein. Bei den beiden über sechseinhalb Stunden dauernden Anhörungen berief sie sich auf den grundsätzlich gleichen Sachverhalt. Allfällige Verständigungsschwierigkeiten mit den Dolmetschern ergeben sich aus den Akten keine. Auch sind den Protokollen keinerlei Anhaltspunkte zu entnehmen, wonach die Beschwerdeführerin nicht in der Lage gewesen wäre, den Befragungen zu folgen. Hinweise für die Annahme, dass ihr nicht genügend Zeit für die Darlegung ihrer Fluchtgründe zur Verfügung gestanden hätte, sind nicht ersichtlich. Insbesondere wurden der Beschwerdeführerin nach ihrer ausführlichen freien Erzählung zu den Gesuchsgründen im EVZ zusätzliche konkrete respektive klärende Fragen zu den von ihr erwähnten Vorkommnissen gestellt. Auch erhielt sie abschliessend die Gelegenheit, allfällige weitere Gründe, die sie zum Verlassen des Heimatlandes bewogen haben, darzutun. Mit den Befragungen beim Bundesamt verhält es sich gleichermassen, wobei die entsprechenden Nachfragen noch bedeutend umfassender ausfielen. Ferner bestätigte die Beschwerdeführerin unterschriftlich die Richtigkeit (EVZ) und Vollständigkeit (Bundesamt) der diesbezüglichen Protokolle, weshalb sie sich bei ihren Aussagen behaften zu lassen hat. Diese Feststellung erfährt zudem an Gewicht, als dass die beim Bun­desamt anwesende Hilfswerkvertreterin nach der Wahrnehmung der Gelegenheit, selbst Fragen an die Beschwerdeführerin zu richten, keine Einwände anzumelden beziehungsweise weitere Abklärungen anzuregen hatte. Sodann gilt festzuhalten, dass die Beschwerdeführerin in der Rechtsmitteleingabe mit nicht über Allgemeinplätze hinausgehenden, äusserst rudimentären und damit als unbehelflich zu qualifizierenden Erklärungen bloss zu ein paar wenigen ihr vom BFM vorgeworfenen Unglaubhaftigkeitselementen Stellung nimmt (u.a. nicht detaillierte Angaben zu Einzelfragen ändere nichts an der geltend gemachten massiven Verfolgungssituation; bei den Befragungen seien die Schilderungen im Kern ausführlich, übereinstimmend und glaubhaft überzeugend ausgefallen; als Frau eines im Herkunftsland politisch Verfolgten [H.M.] sei sie ebenfalls Schikanen und Verfolgungen ausgesetzt gewesen; die Forderung einer genauen Schilderung hinsichtlich des geltend gemachten Ereignisses, wie sie zusammengeschlagen worden sei, stelle ein unsinniges Anliegen dar). Zum letztgenannten Einwand ist der Vollständigkeit halber der Hinweis anzubringen, dass die Erwähnung dieses Sachverhaltsumstandes in der Beschwerdeschrift unlogisch anmutet, stellte die Beschwerdeführerin doch eine Verfolgung durch die Levonakans, von denen sie zusammengeschlagen worden sein soll, in der Beschwerdeschrift eben gerade in Abrede (vgl. E. 4.2 eingangs). Insgesamt ist festzustellen, dass eine klärende Auseinandersetzung mit den Erwägungen der Vorinstanz in der Rechtsmitteleingabe nicht stattfindet. Die diversen Unstimmigkeiten und Ungereimtheiten in den Aussagen der Beschwerdeführerin werden weder beseitigt noch entkräftet. Hinzu kommt, dass die auf Beschwerdeebene eingereichte Passkopie den Aussagen der Beschwerdeführerin diametral widerspricht, datiert doch das Ausstellungsdatum des Passes vom 1. Juni 2010 und beinhaltet der Pass ein Ausreisevisum gleichen Datums, gültig für ein Jahr; beides Umstände, welche gegen eine Verfolgung und Inhaftnahme durch die Behörden im Mai 2010 sprechen. Bei dieser Sachlage - nähere Hinweise oder Aufschlüsse für eine (asyl-) relevante Gefährdungssituation der Beschwerdeführerin unterbleiben - erübrigen sich weitere Erörterungen.</w:t>
      </w:r>
    </w:p>
    <w:p>
      <w:r>
        <w:rPr>
          <w:b/>
        </w:rPr>
        <w:t>E. 4.3</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Eine Situation, welche die Beschwerdeführenden als "Gewalt- oder de-facto-Flüchtlinge" qualifizieren würde, lässt sich aufgrund der heuti­gen Situation in Armenien nicht in genereller Form bejahen. Weder sind in­dividuelle Unzumutbarkeitsaspekte aktenkundig noch wurden solche in den Rechtsschriften geltend gemacht. Aus den Akten erge­ben sich kei­ne konkreten Anhaltspunkte, aufgrund derer allenfalls ge­schlossen werden könnte, die Beschwerdeführenden würden im Falle der Rückkehr in ihren Heimatstaat aus Gründen wirtschaftlicher, sozialer oder ge­sundheitlicher Natur in eine existenzbedrohende Situation geraten. Die über eine achtjährige Schulbildung verfügende Beschwerdeführerin verneinte - ausser den geltend gemachten und als unglaubhaft erachteten Schwierigkeiten - ausdrücklich allfällige Probleme mit den heimatlichen Behörden (Protokoll EVZ S. 3 und 7). Soweit aktenkundig sind die Beschwerdeführenden gesund und im Falle einer Rück­kehr ins Heimatland nicht auf sich alleine gestellt, können sie dort doch auf ein familiäres Beziehungsnetz (Vater, Schwester und deren Familie) zurückgreifen, was eine Reintegration zweifelsohne erleichtern dürfte. Darüber hinaus ergeht ein abweisendes Urteil des Bundesverwaltungsgericht in Sachen H.M. (D-1762/2009) sowie dessen Bruders H.V. (D-1761/2009), welche durch den gleichen Rechtsvertreter wie die Beschwerdeführenden vertreten werden, zum selben Zeitpunkt. In Berücksichti­gung dieser Aspekte ist der Vollzug der Wegweisung als zumutbar zu erachten.</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Berücksichtigung der Besonderheit des vorliegenden Verfahrens sind den Beschwerdeführenden keine Kosten aufzuerlegen (Art. 63 Abs. 1 in fine VwVG i.V.m. Art. 6 Bst. b des Reglements vom 21. Februar 2008 über die Kosten und Entschädigungen vor dem Bundesverwaltungsgericht [VGKE, SR 173.320.2]). Das Gesuch um Gewährung der unentgeltlichen Rechtspflege ist somit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