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D-6362/2012 vom 27. Februar 2013</w:t>
      </w:r>
    </w:p>
    <w:p>
      <w:r>
        <w:t>Bundesverwaltungsgericht, 2013-02-27, DE</w:t>
      </w:r>
    </w:p>
    <w:p>
      <w:r>
        <w:rPr>
          <w:b/>
        </w:rPr>
        <w:t xml:space="preserve">Quelle: </w:t>
      </w:r>
      <w:r>
        <w:t>https://mcp.opencaselaw.ch/entscheid/bvger_D-6362_2012</w:t>
      </w:r>
    </w:p>
    <w:p>
      <w:r>
        <w:t>FR: TAF D-6362/2012 du 27 février 2013</w:t>
      </w:r>
    </w:p>
    <w:p>
      <w:r>
        <w:t>IT: TAF D-6362/2012 del 27 febbraio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des Bundesgerichtsgesetzes vom 17. Juni 2005 [BGG, SR 173.110]).</w:t>
      </w:r>
    </w:p>
    <w:p>
      <w:r>
        <w:rPr>
          <w:b/>
        </w:rPr>
        <w:t>E. 1.2</w:t>
      </w:r>
    </w:p>
    <w:p>
      <w:r>
        <w:t>Gemäss der Übergangsbestimmung des Bundesgesetzes vom 28. September 2012 (Dringliche Änderungen des Asylgesetzes), in Kraft seit 29. September 2012 (AS 2012 5359), gelten für Asylgesuche, die im Ausland vor dem Inkrafttreten der Änderung vom 28. September 2012 gestellt worden sind, die Artikel 12, 19, 20, 41 Absatz 2, 52 und 68 in der bisherigen Fassung des AsylG.</w:t>
      </w:r>
    </w:p>
    <w:p>
      <w:r>
        <w:rPr>
          <w:b/>
        </w:rPr>
        <w:t>E. 2.1</w:t>
      </w:r>
    </w:p>
    <w:p>
      <w:r>
        <w:t>Die Amtssprachen des Bundes sind Deutsch, Französisch und Italienisch (Art. 70 Abs. 1 der Bundesverfassung der Schweizerischen Eidgenossenschaft vom 18. April 1999 [BV, SR 101]). Die Beschwerde ist in englischer Sprache und somit nicht in einer Amtssprache des Bundes abgefasst. Auf die Ansetzung einer Frist zur Beschwerdeverbesserung kann indessen aus prozessökonomischen Grün­den verzichtet werden, da der Eingabe genügend klare, sinn­gemässe Rechtsbegehren und deren Begründung zu entnehmen sind und ohne Weiteres darüber befunden werden kann.</w:t>
      </w:r>
    </w:p>
    <w:p>
      <w:r>
        <w:rPr>
          <w:b/>
        </w:rPr>
        <w:t>E. 2.2</w:t>
      </w:r>
    </w:p>
    <w:p>
      <w:r>
        <w:t>Die Beschwerde ist somit als frist- und formgerecht eingereicht zu er­achten; der Beschwerdeführer ist legitimiert (Art. 105 und Art. 108 Abs. 1 AsylG, Art. 48 Abs. 1 sowie Art. 52 VwVG). Auf die Beschwerde ist folglich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4.2</w:t>
      </w:r>
    </w:p>
    <w:p>
      <w:r>
        <w:t>Gestützt auf Art. 111a Abs. 1 AsylG wurde auf die Durchführung eines Schriftenwechsels verzichtet.</w:t>
      </w:r>
    </w:p>
    <w:p>
      <w:r>
        <w:rPr>
          <w:b/>
        </w:rPr>
        <w:t>E. 5.1</w:t>
      </w:r>
    </w:p>
    <w:p>
      <w:r>
        <w:t>Nach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5.2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6.1</w:t>
      </w:r>
    </w:p>
    <w:p>
      <w:r>
        <w:t>Das BFM stellte fest, dass die Schwierigkeiten des Beschwerdeführers mit den eritreischen Behörden ernstzunehmende Schwierigkeiten darstellen würden. Es hat dem Beschwerdeführer jedoch die Einreise in die Schweiz zwecks Asylgewährung nicht bewilligt, da es ihm zuzumuten sei, im Sudan zu verbleiben, und er folglich den subsidiären Schutz der Schweiz nicht benötige.</w:t>
      </w:r>
    </w:p>
    <w:p>
      <w:r>
        <w:rPr>
          <w:b/>
        </w:rPr>
        <w:t>E. 6.2</w:t>
      </w:r>
    </w:p>
    <w:p>
      <w:r>
        <w:t>Die Überprüfung der Akten ergibt, dass sich die diesbezüglichen Erwägungen in der angefochtenen Verfügung als zutreffend erweisen. Das BFM hat in seiner Verfügung vom 23. November 2012 richtigerweise festgehalten, dass infolge der hohen Anzahl eritreischer Flüchtlinge im Sudan deren Lage nicht einfach ist. Dennoch bestehen im vorliegenden Verfahren keine konkreten Anhaltspunkte für die Annahme, dass dem Beschwerdeführer ein weiterer Verbleib im Sudan nicht zumutbar oder nicht möglich wäre. Der Beschwerdeführer lebt seit dem 26. Februar 2011, also seit rund zwei Jahren, im Sudan. Es ist darauf hinzuweisen, dass sich der Beschwerdeführer im Sudan als Flüchtling registrieren lassen und sich unter den Schutz des UNHCR stellen kann, womit seine Versorgung (insbesondere auch die medizinische) grundsätzlich gewährleistet wäre. Es liegen keine Hinweise vor, dass eine Doppelregistrierung zu Problemen führen könnte. Im Weiteren wird festgestellt, dass es im Sudan zwar in der Tat in vereinzelten Fällen zu Entführungen von eritreischen Flüchtlingen beziehungsweise zu Deportationen von eritreischen Flüchtlingen nach Eritrea gekommen ist. Laut Praxis des Bundesverwaltungsgerichts ist gemäss gesicherten Erkenntnissen das Risiko einer Deportation oder Verschleppung für Eritreer, die im Sudan vom UNHCR als Flüchtlinge anerkannt sind, jedoch gering (vgl. statt vieler Urteil E-4417/2011 vom 9. Februar 2012 E. 6.5.3 und D-5745/2011 vom 10. Januar 2012 E. 6.1). Der Beschwerdeführer gab auch nicht an, dass es bislang zu einem Entführungsversuch seiner Person gekommen sei. Im vorliegenden Fall bestehen keine konkreten Hinweise auf eine drohende Deportation des Beschwerdeführers. Soweit der Beschwerdeführer geltend macht, wirtschaftliche Schwierigkeiten zu haben, weil er keinem Erwerb nachgehen könne, ist festzuhalten, dass er sich im Sudan bislang noch nicht beim UNHCR als Flüchtling hat registrieren lassen. Sobald er dies tut, wird er einem Flüchtlingslager zugewiesen, wo er auch die nötige Versorgung erhält. Schliesslich vermag auch der Umstand, dass eine Schwester des Beschwerdeführers in der Schweiz lebt, keinen derart gewichtigen Anknüpfungspunkt darzustellen, dass eine Abwägung der Gesamtumstände im Sinne von Art. 52 Abs. 2 AsylG dazu führen müsste, dass es gerade die Schweiz ist, die ihm den erforderlichen Schutz gewähren soll.</w:t>
      </w:r>
    </w:p>
    <w:p>
      <w:r>
        <w:rPr>
          <w:b/>
        </w:rPr>
        <w:t>E. 6.3</w:t>
      </w:r>
    </w:p>
    <w:p>
      <w:r>
        <w:t>Zusammenfassend ist mit dem BFM davon auszugehen, der weitere Aufenthalt im Sudan sei für den Beschwerdeführer zumutbar und möglich und dieser nicht auf den subsidiären Schutz der Schweiz angewiesen. Unter diesen Umständen hat das BFM das Asylgesuch des Beschwerdeführers aus dem Ausland zu Recht abgelehnt und ihm die Einreise in die Schweiz verweigert.</w:t>
      </w:r>
    </w:p>
    <w:p>
      <w:r>
        <w:rPr>
          <w:b/>
        </w:rPr>
        <w:t>E. 7</w:t>
      </w:r>
    </w:p>
    <w:p>
      <w:r>
        <w:t>Aus diesen Erwägungen ergibt sich, dass die angefochtene Verfügung Bundesrecht nicht verletzt, den rechtserheblichen Sachverhalt richtig und vollständig feststellt und angemessen ist (Art. 106 Abs. 1 AsylG). Die Beschwerde ist deshalb abzuweisen.</w:t>
      </w:r>
    </w:p>
    <w:p>
      <w:r>
        <w:rPr>
          <w:b/>
        </w:rPr>
        <w:t>E. 8</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