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D-6353/2010 vom 22. November 2010</w:t>
      </w:r>
    </w:p>
    <w:p>
      <w:r>
        <w:t>Bundesverwaltungsgericht, 2010-11-22, DE</w:t>
      </w:r>
    </w:p>
    <w:p>
      <w:r>
        <w:rPr>
          <w:b/>
        </w:rPr>
        <w:t xml:space="preserve">Quelle: </w:t>
      </w:r>
      <w:r>
        <w:t>https://mcp.opencaselaw.ch/entscheid/bvger_D-6353_2010</w:t>
      </w:r>
    </w:p>
    <w:p>
      <w:r>
        <w:t>FR: TAF D-6353/2010 du 22 novembre 2010</w:t>
      </w:r>
    </w:p>
    <w:p>
      <w:r>
        <w:t>IT: TAF D-6353/2010 del 22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52 VwVG). Die Beschwerdeführerin ist durch die angefochtene Verfügung besonders berührt und hat ein schutzwürdiges Interesse an deren Aufhebung beziehungsweise Änderung; sie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Vorbringen in der Rechtsmitteleingabe vom 7. September 2010 sind nicht geeignet, eine Änderung der vorinstanzlichen Verfügung zu bewirken. Der Argumentation des BFM werden keine stichhaltigen und substanziierten Gründe entgegengesetzt. Eine diesbezügliche Auseinandersetzung unterbleibt zwar nicht grundsätzlich. Die Ausführungen der Beschwerdeführerin vermögen jedoch die substanziiert vorgebrachten und nachvollziehbaren Erwägungen des BFM nicht umzustossen. Für das Bundesverwaltungsgericht besteht nach Überprüfung der Akten kein Grund, die Erwägungen des BFM zu beanstanden. Um Wiederholungen zu vermeiden, kann daher auf die zutreffenden Ausführungen in der angefochtenen Verfügung sowie in der Zwischenverfügung vom 14. September 2010 verwiesen werden. Bei dieser Sachlage und mangels eingereichter Belege für die behauptete eritreische Staatsangehörigkeit ist davon auszugehen, dass die Beschwerdeführerin die äthiopische Staatsangehörigkeit besitzt. Diese Beurteilung wird zudem durch die amharischen Sprachkenntnisse der Beschwerdeführerin gestützt. Folglich kann die Beschwerdeführerin keine begründete Furcht vor aktueller Verfolgung glaubhaft darlegen. Nach dem Gesagten erfüllt die Beschwerdeführerin die Flüchtlingseigenschaft gemäss Art. 3 AsylG nicht.</w:t>
      </w:r>
    </w:p>
    <w:p>
      <w:r>
        <w:rPr>
          <w:b/>
        </w:rPr>
        <w:t>E. 5.2</w:t>
      </w:r>
    </w:p>
    <w:p>
      <w:r>
        <w:t>Nach dem Gesagten erübrigt es sich, auf die weiteren Ausführungen in der Eingabe der Beschwerdeführerin einzugehen, da sie am Ergebnis der vorgenommenen Würdigung nichts zu ändern vermögen. Das Bundesamt hat demnach das Asylgesuch der Beschwerdeführerin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Schweizer Asylrekurskommission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in Äthiopien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7.5.1</w:t>
      </w:r>
    </w:p>
    <w:p>
      <w:r>
        <w:t>Äthiopien hat am 12. Dezember 2000 mit Eritrea ein Friedensabkommen unterzeichnet. Seit dem Waffenstillstand vom Juni 2000 haben beide Länder trotz sporadischer Wiederaufflackern des Grenzkonfliktes darauf verzichtet, ihre unterschiedlichen Standpunkte mit militärischer Gewalt durchzusetzen. In Äthiopien herrscht heute weder Krieg noch Bürgerkrieg noch eine Situation allgemeiner Gewalt gemäss Art. 83 Abs. 4 AuG.</w:t>
      </w:r>
    </w:p>
    <w:p>
      <w:r>
        <w:rPr>
          <w:b/>
        </w:rPr>
        <w:t>E. 7.5.2</w:t>
      </w:r>
    </w:p>
    <w:p>
      <w:r>
        <w:t>Wie sich aus den Vorbringen der jungen und gemäss Akten gesunden Beschwerdeführerin ergibt, weist diese einige Jahre Schulbildung und Berufserfahrung auf (vgl. A18/18 S. 5 F.45). Ausserdem ist aufgrund der Aktenlage davon auszugehen, dass sie über ausreichende finanzielle Mittel und Beziehungen verfügt. Ausgehend von der äthiopischen Staatsangehörigkeit der Beschwerdeführerin ist festzustellen, dass ihr Bruder in Addis Abeba lebt und darüber hinaus mit weiteren Beziehungspersonen in Äthiopien zu rechnen ist. Demnach sollte es der Beschwerdeführerin bei einer Rückkehr nach Äthiopien gelingen, gestützt auf ihre bisherige Schul- und Berufserfahrung sowie auf das Beziehungsnetz, den eigenen Lebensunterhalt zu bestreiten.</w:t>
      </w:r>
    </w:p>
    <w:p>
      <w:r>
        <w:rPr>
          <w:b/>
        </w:rPr>
        <w:t>E. 7.5.3</w:t>
      </w:r>
    </w:p>
    <w:p>
      <w:r>
        <w:t>Nach dem Gesagten erweist sich Vollzug der Wegweisung auch als zumutbar.</w:t>
      </w:r>
    </w:p>
    <w:p>
      <w:r>
        <w:rPr>
          <w:b/>
        </w:rPr>
        <w:t>E. 7.6</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der Beschwerdeführerin aufzuerlegen (Art. 63 Abs. 1 und 5 VwVG), auf insgesamt Fr. 600.- festzusetzen (Art. 1-3 des Reglements vom 21. Februar 2008 über die Kosten und Entschädigungen vor dem Bundesverwaltungsgericht [VGKE, SR 173.320.2]) und mit dem am 27. September 2010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