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D-6349/2016 vom 4. Mai 2017</w:t>
      </w:r>
    </w:p>
    <w:p>
      <w:r>
        <w:t>Bundesverwaltungsgericht, 2017-05-04, DE</w:t>
      </w:r>
    </w:p>
    <w:p>
      <w:r>
        <w:rPr>
          <w:b/>
        </w:rPr>
        <w:t xml:space="preserve">Quelle: </w:t>
      </w:r>
      <w:r>
        <w:t>https://mcp.opencaselaw.ch/entscheid/bvger_D-6349_2016</w:t>
      </w:r>
    </w:p>
    <w:p>
      <w:r>
        <w:t>FR: TAF D-6349/2016 du 4 mai 2017</w:t>
      </w:r>
    </w:p>
    <w:p>
      <w:r>
        <w:t>IT: TAF D-6349/2016 del 4 maggio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begründete sein Asylgesuch damit, dass er bangladeschischer Staatsangehöriger sei und im Dorf E._______, Distrikt F._______ (Bangladesch) gelebt habe. Er und seine Familie würden der Partei (...) angehören. Seit 2010 sei er einfaches Mitglied. Bereits im Jahre 2008 sei er jedoch nicht zur Abschlussprüfung zugelassen worden, da ihm vorgeworfen worden sei, dieser Partei anzugehören. Als Anhänger der Awami League (AL) von seiner Parteizugehörigkeit erfahren hätten, seien er und seine Parteikollegen behelligt worden. Am (...) 2011 sei er in C._______ von Anhängern der AL angegriffen und anschliessend von der Polizei verhaftet worden. Man habe ihn geschlagen und am darauffolgenden Tag vor Gericht gebracht, von welchem er gebüsst worden sei. Gegen ihn sei Anzeige wegen Gelderpressung eingereicht worden. Es handle sich jedoch um eine Falschbeschuldigung. Man habe ihn angezeigt, da er sich geweigert habe, der AL beizutreten. Er sei nach 45 Tagen Haft gegen Kaution freigelassen worden. Aus Angst habe er sich jedoch entgegen den Auflagen nicht beim Gericht gemeldet, sondern habe versteckt gelebt. Etwa sechs Monate nach seiner Entlassung sei ein Haftbefehl gegen ihn erlassen worden. Später habe er von seinem Vater erfahren, dass er von Polizisten gesucht werde, da er in einen Mordfall verwickelt sei. Nachdem er in die Schweiz geflohen sei, hätten sich Polizisten bei seiner Mutter nach ihm erkundigt, und maskierte Personen seien etwa im (...) 2014 bei ihm zuhause in Bangladesch eingedrungen und hätten gedroht, ihn umzubringen.</w:t>
      </w:r>
    </w:p>
    <w:p>
      <w:r>
        <w:rPr>
          <w:b/>
        </w:rPr>
        <w:t>E. 5.2</w:t>
      </w:r>
    </w:p>
    <w:p>
      <w:r>
        <w:t>Das SEM begründete seine Verfügung damit, dass die Aussagen des Beschwerdeführers widersprüchlich seien. Er habe angegeben, bereits 2008 sei ihm vorgeworfen worden, für die (Partei) aktiv zu sein. Der Partei sei er im (...) 2010 offiziell beigetreten. In der Bestätigung der Partei werde ausgeführt, er sei seit (...) 2010 aktives Mitglied. Ferner habe er angegeben, nie im Ausland gewesen zu sein und nie ein Visum erhalten zu haben. Auch einen Pass habe er weder beantragt noch besessen. Im Rahmen des rechtlichen Gehörs zu den aufgefundenen Pässen habe er dann jedoch eingestanden, es handle sich bei einem Pass mit den Visa für B._______ um seinen richtigen Pass. In besagtem Pass fänden sich zwei Visa für B._______. Gemäss Stempel sei er am (...) 2008 aus Bangladesch ausgereist und am (...) 2010 zurückgekehrt. Die Aussagen bezüglich Auslandaufenthalt, Reisepass und Visa seien somit gänzlich unterschiedlich. Gemäss Reisepass habe er sich überdies im (...) 2010 - dem angeblichen Zeitpunkt des Parteibeitritts - im Ausland aufgehalten, weshalb nicht glaubhaft sei, dass er bereits damals ein aktives Mitglied gewesen sei. Gemäss Bericht der Schweizer Vertretung sei er nie Mitglied der (Partei) gewesen und das (Partei)-Büro, welches die Mitgliederbestätigung ausgestellt habe, existiere nicht. Laut der persönlich kontaktierten Person bei der Behörde, welche die Polizei- und Gerichtsakten ausgestellt habe, seien die Dokumente gefälscht. Er sei somit nie ein Gerichtsverfahren hängig gewesen und der Beschwerdeführer sei - aufgrund der angegebenen Gründe - nie im Gefängnis gewesen. Der Abklärungsbericht dokumentiere, auf welche Art und Weise die Erkenntnisse gewonnen worden seien und erscheine dem SEM geeignet, aussagekräftige Ergebnisse zu liefern. Auch das Bundesverwaltungsgericht stütze sich mitunter auf Abklärungsberichte von Vertrauenspersonen vor Ort. Die Ergebnisse selbst seien konsistent, nachvollziehbar und überzeugend. Es bestehe daher kein Anlass, an den Abklärungsmethoden und den -ergebnissen zu zweifeln. Die Erkenntnis, es handle sich um Fälschungen, stehe im Übrigen vor dem gerichtsnotorischen Hintergrund, dass gefälschte Gerichts- und Polizeidokumente in Bangladesch leicht käuflich erwerbbar seien. Die Botschaftsabklärung enthalte Angaben, deren Geheimhaltung im öffentlichen Interesse stehe, weshalb der Bericht in anonymisierter Form offengelegt worden sei. Das Gesuch um Offenlegung der Namen und Positionen der Auskunftspersonen sei daher abzulehnen.</w:t>
      </w:r>
    </w:p>
    <w:p>
      <w:r>
        <w:rPr>
          <w:b/>
        </w:rPr>
        <w:t>E. 5.3</w:t>
      </w:r>
    </w:p>
    <w:p>
      <w:r>
        <w:t>In der Beschwerde wurde diesen Erwägungen entgegnet, dass der Anspruch auf rechtliches Gehör verletzt worden sei. Dem Beschwerdeführer sei nicht offengelegt worden, wer im Rahmen der Botschaftsabklärung befragt worden sei. Er könne daher nicht abschätzen, wer die Aussage gemacht habe und welche Motivation allenfalls dahinterstehen könnte. Das SEM halte selbst fest, dass die Korruption in Bangladesch weit verbreitet sei, weshalb es umso wichtiger sei, überprüfen zu können, wie seriös die Quelle des SEM sei und in welcher Beziehung sie allenfalls zur Regierung stehe. Das SEM bestreite, dass der Beschwerdeführer Mitglied der (Partei) sei. Da der Beschwerdeführer nicht wisse, wer gegenüber der Vertretung diesen Umstand geäussert habe, könne dies lediglich pauschal bestritten werden. Zudem sei es durchaus möglich, dass man im Ausland in Vorbereitung der Rückkehr Mitglied einer Partei werde, weshalb das Argument, er habe sich im Zeitpunkt des Beitritts noch in B._______ befunden, nicht überzeuge. Betreffend die Inhaftierung sei es dem Beschwerdeführer gelungen, neue Dokumente zu beschaffen. Daraus ergebe sich, dass er am (...) 2011 festgenommen worden sei und man ihm vorgeworfen habe, einen Mann niedergeschlagen und bestohlen zu haben. Es sei jedoch ganz anders gewesen, da vielmehr der Beschwerdeführer niedergeschlagen worden sei, da er Mitglied der Opposition sei. Dass diese Version glaubhaft sei, ergebe sich bereits daraus, dass der Beschwerdeführer am (...) 2011 gegen Kaution freigelassen worden sei, da der Kläger kein Arztzeugnis eingereicht habe. Aus den weiteren Dokumenten ergebe sich, dass der Beschwerdeführer bis heute behördlich gesucht werde.</w:t>
      </w:r>
    </w:p>
    <w:p>
      <w:r>
        <w:rPr>
          <w:b/>
        </w:rPr>
        <w:t>E. 6.1</w:t>
      </w:r>
    </w:p>
    <w:p>
      <w:r>
        <w:t>Das SEM hat die Vorbringen des Beschwerdeführers zu Recht für unglaubhaft befunden. Dabei kann im Wesentlichen auf die Ausführungen in der angefochtenen Verfügung verwiesen werden. Diesen wurde in der Beschwerde nichts Stichhaltiges entgegnet, zumal sich diese im Wesentlichen in einer pauschalen Bestreitung der Ergebnisse der Botschaftsabklärung erschöpft, ohne auf die einzelnen Ergebnisse einzugehen. Die Anonymisierungen der Namen der befragten Personen in der Botschaftsabklärung erweisen sich aufgrund gegenläufiger öffentlicher Interessen als rechtmässig. Überdies wurden dem Beschwerdeführer die Ergebnisse sowie die Aussagen der einzelnen Personen zur Kenntnis gebracht, so dass hinreichende Möglichkeit zur Stellungnahme bestand, weshalb auch keine Verletzung des rechtlichen Gehörs vorliegt.</w:t>
      </w:r>
    </w:p>
    <w:p>
      <w:r>
        <w:rPr>
          <w:b/>
        </w:rPr>
        <w:t>E. 6.2</w:t>
      </w:r>
    </w:p>
    <w:p>
      <w:r>
        <w:t>In der Beschwerde wurde vorgebracht, der Beschwerdeführer sei inhaftiert worden, da er einen Mann niedergeschlagen und bestohlen habe. Dies entspricht in etwa dem Inhalt der nunmehr eingereichten Dokumente. Aus den beim SEM eingereichten Dokumenten erschliesst sich jedoch ein vollkommen anders gelagerter Sachverhalt (vgl. die jeweiligen First Information Statements). Es fällt auf, dass die neu eingereichten Unterlagen auf dieselbe G R-Nummer (...) sowie Case-Nummer (...) Bezug nehmen, wie die bei der Vorinstanz eingereichten Dokumente. Zudem beziehen sie sich - wie die bereits eingereichten Dokumente - auf ein Ereignis am (...) 2011. Allerdings ist der Inhalt des jeweiligen Ereignisses vollkommen unterschiedlich. Der Beschwerdeführer erklärt weder, in welchem Verhältnis diese Vorwürfe respektive Verfahren zueinander stehen, noch wieso die Dokumente unterschiedlichen Inhalts sind, noch wieso er die nunmehr eingereichten Dokumente nicht bereits früher einreichte. Gemäss seinen Vorbringen handle es sich bei beiden Verfahrensakten um authentische Dokumente, was offensichtlich nicht zutreffen kann. Vor diesem Hintergrund, wie auch aufgrund der überzeugenden Botschaftsabklärung und dem Umstand, dass der Beschwerdeführer betreffend seine Auslandaufenthalte und seine Identitätsdokumente täuschende Angaben gemacht hat, drängt sich vielmehr der Schluss auf, dass es sich auch bei den nunmehr eingereichten Dokumenten um Fälschungen handelt. Sie sind daher in Anwendung von Art. 10 Abs. 4 AsylG einzuziehen.</w:t>
      </w:r>
    </w:p>
    <w:p>
      <w:r>
        <w:rPr>
          <w:b/>
        </w:rPr>
        <w:t>E. 6.3</w:t>
      </w:r>
    </w:p>
    <w:p>
      <w:r>
        <w:t>Das SEM hat somit zu Recht die Unglaubhaftigkeit der Vorbringen festgestellt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8.5</w:t>
      </w:r>
    </w:p>
    <w:p>
      <w:r>
        <w:t>Das SEM begründete die Zumutbarkeit des Wegweisungsvollzugs damit, dass der Beschwerdeführer in der Heimat über Familienangehörige verfüge und er dort wieder Fuss fassen könne. Gegen diese Feststellung wurden in der Beschwerde keine Einwände erhoben. Sie ist zu bestätigen. Nach dem Gesagten erweist sich der Vollzug der Wegweisung auch als zumutbar.</w:t>
      </w:r>
    </w:p>
    <w:p>
      <w:r>
        <w:rPr>
          <w:b/>
        </w:rPr>
        <w:t>E. 8.6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8.7</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Für deren Bezahlung ist der bereits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