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D-6348/2016 vom 22. November 2018</w:t>
      </w:r>
    </w:p>
    <w:p>
      <w:r>
        <w:t>Bundesverwaltungsgericht, 2018-11-22, DE</w:t>
      </w:r>
    </w:p>
    <w:p>
      <w:r>
        <w:rPr>
          <w:b/>
        </w:rPr>
        <w:t xml:space="preserve">Quelle: </w:t>
      </w:r>
      <w:r>
        <w:t>https://mcp.opencaselaw.ch/entscheid/bvger_D-6348_2016</w:t>
      </w:r>
    </w:p>
    <w:p>
      <w:r>
        <w:t>FR: TAF D-6348/2016 du 22 novembre 2018</w:t>
      </w:r>
    </w:p>
    <w:p>
      <w:r>
        <w:t>IT: TAF D-6348/2016 del 22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5.1</w:t>
      </w:r>
    </w:p>
    <w:p>
      <w:r>
        <w:t>Die Vorinstanz begründete ihren ablehnenden Asylentscheid betreffend Flüchtlingseigenschaft im Wesentlichen damit, dass die vom Beschwerdeführer vorgebrachten Fluchtgründe als unglaubhaft zu erachten seien. Einerseits seien in seinen Ausführungen in den beiden verschiedenen Asylverfahren massgebliche Widersprüche festzustellen, andererseits seien auch seine Angaben des zweiten Asylverfahrens in sich widersprüchlich. Der Beschwerdeführer habe in den beiden Asylverfahren gänzlich verschiedene Gesuchsgründe vorgebracht (A1 S. 5 f.; A5 7.01; A19 F54 ff.; A25 F40 ff.). Die im ersten Asylverfahren vorgebrachte Festnahme durch die sudanesische Polizei nach seiner Ankunft im Sudan und den anschliessenden Verkauf an die Rashaida-Bande habe der Beschwerdeführer in der BzP und der ersten Anhörung nicht mehr erwähnt; lediglich in der zweiten Anhörung habe er abweichend von seinen früheren Ausführungen angegeben, direkt vom Schlepper an diese Bande verkauft worden zu sein (SEM-Akte A1 S. 3; A5, A19, A25 F75 f.). Ebenfalls habe er zur Lösegeldforderung und zur Flucht aus den Händen der Rashaida-Bande abweichende Angaben gemacht. Weiter lägen zu Daten wie seinem Geburtsdatum oder seiner Ausreise aus Eritrea (im 1. Asylverfahren geb. am 20. Februar 1989, Ausreise am 20. Oktober 2009 [A1 S. 1 f.]; im 2. Asylverfahren geb. am 20. Februar 1991, Ausreise Ende Juli 2011 [A5 S. 1f.]) komplett unterschiedliche Angaben vor; so ebenfalls zu seinen Eltern (A1 S.1; A5 3.01). Seine in der Schweiz lebende Tante und sein erstes Asylgesuch habe er während des zweiten Asylverfahrens weder in BzP noch in der ersten Anhörung erwähnt. Seine Erklärungen für diese unterschiedlichen Angaben erachtete die Vorinstanz als wenig stichhaltig, vage und widersprüchlich. Zu den Widersprüchen innerhalb des zweiten Asylverfahrens hielt das SEM dem Beschwerdeführer vor, zuerst nicht gewusst zu haben, weshalb er für vier Tage verhaftet worden sein solle, um dann später anzugeben, die Verhaftung habe im Zusammenhang mit seiner Arbeit gestanden und von den Behörden auch so begründet worden (A5 7.01; A19 F67). Später habe er auf Nachfrage angegeben, die Verhaftung könne möglicherweise im Zusammenhang mit seinem mangelndem Engagement im Jugendverein, seinem Nicht-Erscheinen bei einer politischen Schulung in D._______, einem Vorfall während seiner Arbeit bei der (...)behörde oder seinen Fragen betreffend die Beendigung des Studiums gestanden haben (A25 F46 f.). Weiter seien die zeitlichen Angaben zu seinem Studium (A5 1.17.04 und 7.01), seinem Beitritt im Jugendverein in Sawa (A19 F107 und F123; A25 F47), der ihm erneut drohenden Inhaftierung nach seiner Entlassung aus dem Gefängnis (A19 F71, F86, F93 ff.; A25 F44, F125 f.) sowie zur Zeitdauer seiner Arbeit bei der Telekommunikationsbehörde (A5 7.01; A25 F39) widersprüchlich ausgefallen. Die Mitteilung der Behörden nach seiner Entlassung aus dem Gefängnis, sein Fall sei noch nicht abgeschlossen, dass er seine Entlassung habe unterschreiben müssen oder dass seine Arbeitskollegen verhaftet worden seien, habe er erst im Rahmen der ersten Anhörung des zweiten Asylverfahrens geltend gemacht (A19 F55). Da er diese Ereignisse anlässlich der BzP mit keinem Wort erwähnt habe, sei davon auszugehen, dass er bei der Anhörung nachträglich versucht habe, seinen Asylgründen mehr Gewicht zu verleihen.</w:t>
      </w:r>
    </w:p>
    <w:p>
      <w:r>
        <w:rPr>
          <w:b/>
        </w:rPr>
        <w:t>E. 5.2</w:t>
      </w:r>
    </w:p>
    <w:p>
      <w:r>
        <w:t>Dem setzte der Beschwerdeführer auf Beschwerdeebene entgegen, dass ein Grossteil der angeblich widersprüchlichen Angaben auf den Inhalt des ersten Asylgesuchs zurückzuführen sei, welches von seiner Tante verfasst worden sei. Diese habe das Gesuch lediglich aufgrund seiner telefonischen Angaben und in englischer Sprache verfasst; wegen seiner mangelnden Englischkenntnisse sei der Beschwerdeführer über den Inhalt dieses Gesuchs jedoch gar nicht informiert gewesen, was die abweichenden Angaben erkläre. Weiter müsse berücksichtigt werden, dass er im ersten Asylverfahren nie die Möglichkeit gehabt habe, sich persönlich zu seinen Gesuchsgründen zu äussern. Die Vorinstanz hätte seine Angaben des ersten abgeschriebenen Asylverfahrens nicht in das zweite Asylverfahren einfliessen lassen dürfen. Bei den restlichen Widersprüchen handle es sich lediglich um Details oder kleiner Abweichungen in der Chronologie des Sachverhalts. Die Vorinstanz habe jedoch aufgrund der abweichenden Angaben im ersten Asylverfahren die Glaubhaftigkeit seiner Angaben pauschal in Zweifel gezogen.</w:t>
      </w:r>
    </w:p>
    <w:p>
      <w:r>
        <w:rPr>
          <w:b/>
        </w:rPr>
        <w:t>E. 5.3</w:t>
      </w:r>
    </w:p>
    <w:p>
      <w:r>
        <w:t>Das Bundesverwaltungsgericht gelangt nach Prüfung der Akten zum Schluss, dass es dem Beschwerdeführer - wie die Vorinstanz eingehend begründete - entgegen seinen Vorbringen in der Beschwerde nicht gelungen ist, eine asylbeachtliche Verfolgung im Sinne von Art. 3 und Art. 7 AsylG glaubhaft zu machen. Insbesondere ergibt eine Konsultation der Befragungsprotokolle und der vorinstanzlichen Verfügung, dass das SEM die Akten sorgfältig geprüft, die oben genannten teilweise gravierenden Widersprüche in seiner Verfügung ausführlich und nachvollziehbar aufgezeigt und schliesslich zu Recht festgestellt hat, die Vorbringen des Beschwerdeführers vermöchten den Anforderungen an die Glaubhaftigkeit nicht standzuhalten. Diesbezüglich kann auf die vorstehend aufgeführten Erwägungen der vorinstanzlichen Verfügung verwiesen werden, welchen vollumfänglich zugestimmt werden kann (vgl. E. 5.1). Festzuhalten ist in diesem Zusammenhang insbesondere, dass es sich bei den von der Vorinstanz festgestellten Widersprüchen und Unklarheiten - entgegen den Ausführungen des Beschwerdeführers - grösstenteils nicht um Details, sondern um wegweisende Eckpunkte der geschilderten Ereignisse handelt, bei welchen erwartet werden darf, dass sie zumindest einigermassen einheitlich vorgebracht werden. Hierbei sind vor allem die völlig unterschiedlichen Gesuchsgründe in den beiden Asylverfahren (vgl. oben Sachverhalt A. und B.; vgl. A1 S. 2 f.; A5, A19, A25), die politische Betätigung des Beschwerdeführers (vgl. A19 F107 und F123; A25 S. 5), die Dauer seines Studiums (A5 1.17.04 und 7.01) sowie die Dauer seiner Haft (vgl. A1 S. 2; A5 S. 7; A19 F54; A25 F42) zu nennen. Plausible Gründe für die im Übrigen auch innerhalb desselben Asylverfahrens festgestellten Widersprüche und Unstimmigkeiten sind vorliegend nicht erkennbar beziehungsweise macht der Beschwerdeführer auch nicht geltend.</w:t>
      </w:r>
    </w:p>
    <w:p>
      <w:r>
        <w:rPr>
          <w:b/>
        </w:rPr>
        <w:t>E. 5.4</w:t>
      </w:r>
    </w:p>
    <w:p>
      <w:r>
        <w:t>Insbesondere muss sich der Beschwerdeführer entgegen seinen Ausführungen in der Beschwerde vorhalten lassen, in den beiden anhängig gemachten Asylverfahren grundlegend unterschiedliche Angaben gemacht zu haben. Dass das erste Gesuch durch seine Tante eingereicht worden sei und der Beschwerdeführer zu diesem Zeitpunkt angeblich von dessen Inhalt keine Kenntnis hatte, kann er nicht als Begründung der in ihrer Substanz gravierend abweichenden Asylvorbringen anführen. Während das Gesuch selbst mit "E._______" unterschrieben wurde, liegt demselben ein mehrseitiges Dokument "Questions for demanding for asylum in Switzerland" bei, welches im Beilagenverzeichnis als "von F._______ verfasstes Schreiben" aufgeführt und dessen einzelne Seiten vom Beschwerdeführer unterzeichnet wurden. Folglich muss er sich dessen Inhalt vollumfänglich anrechnen lassen. Zudem widersprach sich der Beschwerdeführer bereits bei der Angabe, ob er Kenntnis vom Inhalt des ersten Asylgesuchs hätte haben können, indem er einerseits angab, er habe das Gesuch nicht gelesen und selbst wenn, hätte er dessen Inhalt in englischer Sprache nicht verstanden (A25 F101 f.) beziehungsweise per Zufall habe er das Gesuch nach der zweiten Anhörung gelesen und festgestellt, dass dessen Inhalt nicht stimme (A25 F122).</w:t>
      </w:r>
    </w:p>
    <w:p>
      <w:r>
        <w:rPr>
          <w:b/>
        </w:rPr>
        <w:t>E. 5.5</w:t>
      </w:r>
    </w:p>
    <w:p>
      <w:r>
        <w:t>Auch die im vorinstanzlichen Verfahren eingereichten zahlreichen Beweismittel vermögen die vorgebrachten Asylgründe nicht zu stützen. Einerseits sind eritreische Dokumente bekanntlich relativ leicht käuflich erwerbbar, womit deren Beweiswert als eingeschränkt zu erachten ist. Andererseits vermag der Beschwerdeführer aus den eingereichten Kurs- und Schulbestätigungen ohnehin nichts für sich abzuleiten, zumal sie - deren Echtheit vorausgesetzt - allenfalls seine Teilnahme an Aus- und Weiterbildungen zu belegen vermögen, welche jedoch nicht in direktem Zusammenhang mit den vorgebrachten Asylgründen stehen. Gleich verhält es sich mit den weiteren zu den Akten gereichten Dokumenten. Dass der Beschwerdeführer in Sawa die militärische Grundausbildung absolvierte, ist nicht auszuschliessen. Allerdings ist es dem Beschwerdeführer nach dem oben Gesagten nicht gelungen, glaubhaft zu machen, dass er wie vorgebracht nach der militärischen Grundausbildung am College studiert und sich dabei politisch betätigt hat, verhaftet und wieder entlassen worden und aufgrund seiner Zuteilung zum militärischen Nationaldienst sowie aus Furcht vor einer erneuten Verhaftung aus Eritrea geflohen ist. Demnach kann er - selbst wenn er in Sawa die 12. Klasse abgeschlossen haben sollte - auch nicht als Deserteur des eritreischen Nationaldienstes gelten. Vielmehr muss aufgrund der Aktenlage davon ausgegangen werden, dass er aus einem der in der eritreischen Nationaldienst-Proklamation festgehaltenen Gründe von der Dienstpflicht befreit wurde oder aber ordentlich aus dem Nationaldienst entlassen wurde (vgl. dazu Referenzurteil des BVGer D-2311/2016 vom 17. August 2017 E. 12.5 m. w. H). Das Vorliegen von Vorfluchtgründen im Sinne von Art. 3 AsylG ist demnach zu verneinen.</w:t>
      </w:r>
    </w:p>
    <w:p>
      <w:r>
        <w:rPr>
          <w:b/>
        </w:rPr>
        <w:t>E. 6.1</w:t>
      </w:r>
    </w:p>
    <w:p>
      <w:r>
        <w:t>Auch aufgrund der illegalen Ausreise des Beschwerdeführers - deren Glaubhaftigkeit vorliegend offenbleiben kann - ergibt sich keine asylrelevante Verfolgungsgefahr. Im Referenzurteil D-7898/2015 vom 30. Januar 2017 kam das Gericht zum Schluss, dass eine illegale Ausreise allein zur Begründung der Flüchtlingseigenschaft nicht ausreiche. Eine flüchtlingsrechtlich relevante Verfolgungsgefahr sei nur dann anzunehmen, wenn zusätzliche Anknüpfungspunkte vorlägen, welche zu einer Schärfung des Profils führen (vgl. Referenzurteil D-7898/2015 E. 4.1 und E. 5.1 f.). Eine solche Profilschärfung ist im Falle des Beschwerdeführers zu verneinen, zumal die vorgebrachten Fluchtgründe, wie eben dargelegt, für unglaubhaft zu befinden sind.</w:t>
      </w:r>
    </w:p>
    <w:p>
      <w:r>
        <w:rPr>
          <w:b/>
        </w:rPr>
        <w:t>E. 6.2</w:t>
      </w:r>
    </w:p>
    <w:p>
      <w:r>
        <w:t>Die Rüge des Beschwerdeführers, die Vorinstanz habe in Bezug auf die Behandlung von illegal ausgereisten eritreischen Staatsangehörigen eine unzulässige Praxisänderung vorgenommen, geht unter Berücksichtigung des eben Gesagten ins Leere. Gemäss langjähriger früherer Praxis der schweizerischen Asylbehörden begründete bereits eine glaubhaft gemachte illegale Ausreise aus Eritrea die Flüchtlingseigenschaft. Das SEM verschärfte diese Praxis im Sommer 2016, wovon auch der Beschwerdeführer betroffen war. Mit oben genanntem Referenzurteil D-7898/2015 vom 30. Januar 2017 hat das Bundesverwaltungsgericht diese seitens des Beschwerdeführers beanstandete Praxisänderung jedoch bestätigt. Der entsprechende Rückweisungsantrag ist demnach abzuweisen.</w:t>
      </w:r>
    </w:p>
    <w:p>
      <w:r>
        <w:rPr>
          <w:b/>
        </w:rPr>
        <w:t>E. 7</w:t>
      </w:r>
    </w:p>
    <w:p>
      <w:r>
        <w:t>Zusammenfassend ergibt sich, dass die geltend gemachten Vorbringen nicht geeignet sind, eine flüchtlingsrechtlich relevante Verfolgungsfurcht zu begründen. Die Vorinstanz hat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Den obenstehenden Ausführungen zufolge (E. 5.5) hat der Beschwerdeführer bei einer Rückkehr nach Eritrea keinen Einzug in den Nationaldienst zu befürchten. Dennoch ist darauf hinzuweisen, dass selbst bei einem allfälligen Einzug nicht vom Vorliegen eines völkerrechtlichen Vollzugshindernisses auszugehen wäre. Die Frage der Zulässigkeit des Wegweisungsvollzugs bei bevorstehender Einziehung in den eritreischen Nationaldienst ist vom Bundesverwaltungsgericht in einem Grundsatzurteil geklärt worden (vgl. Urteil des BVGer E-5022/2017 vom 10. Juli 2018 E.6.1 [zur Publikation vorgesehen]). Das Gericht hat die Zulässigkeit des Wegweisungsvollzugs im genannten Urteil sowohl unter dem Gesichtspunkt des Verbots der Sklaverei und Leibeigenschaft (Art. 4 Abs. 1 EMRK), des Zwangsarbeitsverbots (Art. 4 Abs. 2 EMRK) als auch unter jenem des Verbots der Folter und der unmenschlichen und erniedrigenden Behandlung (Art. 3 EMRK) geprüft und bejaht.</w:t>
      </w:r>
    </w:p>
    <w:p>
      <w:r>
        <w:rPr>
          <w:b/>
        </w:rPr>
        <w:t>E. 9.2.4</w:t>
      </w:r>
    </w:p>
    <w:p>
      <w:r>
        <w:t>Weitere Gründe für die Annahme der Unzulässigkeit des Wegweisungsvollzugs ergeben sich weder aus den Akten noch aus der Beschwerdeschrift. Der Wegweisungsvollzug ist folglich als zulässig zu erachten.</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In Eritrea kann gemäss aktueller Rechtsprechung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Angesichts der schwierigen allgemeinen Lage des Landes muss jedoch in Einzelfällen nach wie vor von einer Existenzbedrohung ausgegangen werden, wenn besondere Umstände vorliegen. Anders als noch unter der früheren Rechtsprechung sind begünstigende individuelle Faktoren aber nicht mehr zwingende Voraussetzung für die Zumutbarkeit des Wegweisungsvollzugs (vgl. Referenzurteil des BVGer D-2311/2016 vom 17. August 2017 E. 16 f.).</w:t>
      </w:r>
    </w:p>
    <w:p>
      <w:r>
        <w:rPr>
          <w:b/>
        </w:rPr>
        <w:t>E. 9.3.3</w:t>
      </w:r>
    </w:p>
    <w:p>
      <w:r>
        <w:t>Vorliegend sind keine Hinweise dafür ersichtlich, dass der Beschwerdeführer bei einer Rückkehr nach Eritrea in eine existenzielle Notlage geraten könnte. Demzufolge erweist sich der Vollzug der Wegweisung auch in individueller Hinsicht als zumutbar.</w:t>
      </w:r>
    </w:p>
    <w:p>
      <w:r>
        <w:rPr>
          <w:b/>
        </w:rPr>
        <w:t>E. 9.4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8. November 2016 die unentgeltliche Rechtspflege gemäss Art. 65 Abs. 1 VwVG gewährt wurde, sind keine Verfahrenskosten zu erheben.</w:t>
      </w:r>
    </w:p>
    <w:p>
      <w:r>
        <w:rPr>
          <w:b/>
        </w:rPr>
        <w:t>E. 11.2</w:t>
      </w:r>
    </w:p>
    <w:p>
      <w:r>
        <w:t>Mit derselben Verfügung hiess der damalige Instruktionsrichter das Gesuch um amtliche Rechtsverbeiständung gestützt auf Art. 110a Abs. 1 AsylG gut und ordnete dem Beschwerdeführer seinen Rechtsvertreter als amtlichen Rechtsbeistand bei. Demnach ist diesem ein Honorar für seine notwendigen Ausgaben im Beschwerdeverfahren auszurichten. Der Rechtsvertreter reichte am 11. Juli 2017 (recte: 2018) eine Kostennote zu den Akten, die in zeitlicher Hinsicht angemessen erscheint. Allerdings ist der Stundenansatz auf Fr. 150.- zu kürzen. Zudem werden Spesen grundsätzlich aufgrund der tatsächlichen Kosten ausbezahlt. Vorliegend sind diese einerseits hinsichtlich der Fotokopien von Fr. 2.00 konkret angegeben, werden andererseits bei den veranschlagten pauschalen Telefonspesen und Porti von Fr. 18.90.- nicht ausgewiesen. Ein Pauschalbetrag wird nur dann vergütet, wenn besondere Verhältnisse es rechtfertigen; solche sind aber vorliegend nicht ersichtlich (vgl. Art. 11 Abs. 1 und 3 VGKE). Dem Rechtsvertreter ist unter Berücksichtigung der massgebenden Bemessungsfaktoren (Art. 9 - 13 VGKE) sowie der Entschädigungspraxis in vergleichbaren Fällen zulasten der Gerichtskasse ein amtliches Honorar von pauschal Fr. 1'100.-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