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D-6348/2012 vom 18. Dezember 2012</w:t>
      </w:r>
    </w:p>
    <w:p>
      <w:r>
        <w:t>Bundesverwaltungsgericht, 2012-12-18, IT</w:t>
      </w:r>
    </w:p>
    <w:p>
      <w:r>
        <w:rPr>
          <w:b/>
        </w:rPr>
        <w:t xml:space="preserve">Quelle: </w:t>
      </w:r>
      <w:r>
        <w:t>https://mcp.opencaselaw.ch/entscheid/bvger_D-6348_2012</w:t>
      </w:r>
    </w:p>
    <w:p>
      <w:r>
        <w:t>FR: TAF D-6348/2012 du 18 décembre 2012</w:t>
      </w:r>
    </w:p>
    <w:p>
      <w:r>
        <w:t>IT: TAF D-6348/2012 del 18 dicembre 2012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accolto.</w:t>
      </w:r>
    </w:p>
    <w:p>
      <w:r>
        <w:rPr>
          <w:b/>
        </w:rPr>
        <w:t>E. 2</w:t>
      </w:r>
    </w:p>
    <w:p>
      <w:r>
        <w:t>La decisione dell'UFM del 29 novembre 2012 è annullata. Gli atti di causa sono trasmessi all'UFM per la pronuncia di una decisione nel merito ai sensi dei considerandi.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L'UFM rifonderà alle ricorrenti CHF 600.- a titolo di spese ripetibili.</w:t>
      </w:r>
    </w:p>
    <w:p>
      <w:r>
        <w:rPr>
          <w:b/>
        </w:rPr>
        <w:t>E. 5</w:t>
      </w:r>
    </w:p>
    <w:p>
      <w:r>
        <w:t>Questa sentenza è comunicata alle ricorrenti,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