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D-633/2012 vom 12. Juni 2012</w:t>
      </w:r>
    </w:p>
    <w:p>
      <w:r>
        <w:t>Bundesverwaltungsgericht, 2012-06-12, DE</w:t>
      </w:r>
    </w:p>
    <w:p>
      <w:r>
        <w:rPr>
          <w:b/>
        </w:rPr>
        <w:t xml:space="preserve">Quelle: </w:t>
      </w:r>
      <w:r>
        <w:t>https://mcp.opencaselaw.ch/entscheid/bvger_D-633_2012</w:t>
      </w:r>
    </w:p>
    <w:p>
      <w:r>
        <w:t>FR: TAF D-633/2012 du 12 juin 2012</w:t>
      </w:r>
    </w:p>
    <w:p>
      <w:r>
        <w:t>IT: TAF D-633/2012 del 12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führte zur Begründung der angefochtenen Verfügung im Wesentlichen aus, die Vorbringen des Beschwerdeführers genügten den Anforderungen an die Flüchtlingseigenschaft gemäss Art. 3 AsylG nicht, weshalb auf allfällige Unglaubhaftigkeitselemente nicht einzugehen sei. Die geltend gemachten Ereignisse müssten vor dem Hintergrund der Lage während des Bürgerkriegs betrachtet werden, während heute eine veränderte Situation vorherrsche. Zwar würden die sri-lankischen Behörden nach wie vor gegen ehemalige Kämpfer und Führungspersonen der LTTE vorgehen. Diese Umschreibung treffe indes auf den Beschwerdeführer nicht zu, zumal dieser nie geltend gemacht habe, ein aktives oder sogar führendes Mitglied der LTTE gewesen zu sein oder diese unterstützt zu haben. Der Beschwerdeführer habe ferner angegeben, er sei nach seiner Festnahme im (...) durch die sri-lankischen Sicherheitskräfte nach rund (...) Monaten gegen Bezahlung freigelassen worden, was deutlich mache, er sei bereits zu diesem Zeitpunkt nicht mehr ernsthaft verdächtigt worden, die LTTE aktiv zu unterstützen. Gemäss Erkenntnissen der Vorinstanz werde in Sri Lanka gegen Personen, die unter Verdacht stehen würden, eine Gefahr für die Sicherheit des sri-lankischen Staates zu sein, konsequent behördlicherseits vorgegangen, was beim Beschwerdeführer nicht der Fall gewesen sei. In seinen Schilderungen würden sich auch keine Hinweise dafür finden lassen, die sri-lankischen Behörden würden heute - mehr als zwei Jahre nach dem Ende des Bürgerkrieges - ein ernsthaftes Interesse an seiner Verfolgung haben. Zudem sei angesichts seines geringfügigen politischen Profils nicht davon auszugehen, er habe heute seitens der Behörden noch mit asylrelevanten Schwierigkeiten zu rechnen. Auch bezüglich der LTTE habe er heute nichts mehr zu befürchten, da die Organisation als zerschlagen gelte und solche Belästigungen überdies durch die staatlichen Behörden geahndet würden. Die allgemeinen Nachteile, welche ihm aus dem Bürgerkrieg erwachsen seien, hätten weite Teile der sri-lankischen Bevölkerung betroffen, weshalb es am erforderlichen Verfolgungsmotiv gemäss Art. 3 AsylG fehle. Die Vorbringen erfüllten daher die Anforderungen an die Flüchtlingseigenschaft gemäss Art. 3 AsylG nicht, weshalb sein Asylgesuch abzulehnen sei.</w:t>
      </w:r>
    </w:p>
    <w:p>
      <w:r>
        <w:rPr>
          <w:b/>
        </w:rPr>
        <w:t>E. 3.2</w:t>
      </w:r>
    </w:p>
    <w:p>
      <w:r>
        <w:t>Der Beschwerdeführer entgegnete diesen Erwägungen in seiner Rechtsmitteleingabe, es lägen sehr wohl Hinweise darauf vor, dass er in Sri Lanka gefährdet sei. So habe er glaubhaft dargelegt, im (...) von sri-lankischen Sicherheitskräften festgenommen und danach während (...) Monate wiederholt misshandelt worden zu sein. Angesichts der Tatsache, dass ihm vorgeworfen werde, Anhänger der LTTE zu sein, falle er gemäss aktueller bundesverwaltungsgerichtlicher Rechtsprechung in den Personenkreis einer der definierten Risikogruppen. Das eingereichte Dokument des IKRK bestätige die vorgebrachte Haft. Aufgrund der gegen Bezahlung erfolgten Freilassung könne nicht davon ausgegangen werden, er sei schon damals nicht ernsthaft verdächtigt worden, die LTTE zu unterstützen. Vielmehr handle es sich um eine gängige Praxis, Häftlinge auf diese Weise freizulassen, um sie zu einem späteren Zeitpunkt wieder festzunehmen und erneut Geld von ihnen zu erpressen. Aus den genannten Gründen weise er ein Risikoprofil auf und hätte im Falle einer Rückkehr mit Verfolgung zu rechnen. Ausserdem würden die unterstellte LTTE-Mitgliedschaft, die Haft, die Folterspuren und Narben noch heute dazu führen, bei den Behörden in Verdacht zu geraten. Die relativ lange Landesabwesenheit verbunden mit der Asylgesuchsstellung in der Schweiz sowie die fehlenden Identitätsdokumente würden die Gefährdung noch verstärken. Hinzu komme noch die Tatsache, dass Militärangehörige mehrmals bei seiner Mutter nach ihm gesucht hätten und sie von ihnen angewiesen worden sei, das Militär unverzüglich zu informieren, sobald ihr Sohn zurückkomme, was die drohende Verfolgung bestätige. Eventualiter sei die Unzulässigkeit beziehungsweise Unzumutbarkeit des Vollzuges der Wegweisung festzustellen und deshalb die vorläufige Aufnahme anzuordnen. Es sei nämlich davon auszugehen, dass der Beschwerdeführer im Falle einer Rückkehr in den Norden Sri Lankas weder Aussicht auf ein existenzsicherndes Einkommen noch auf eine gesicherte Wohnsituation habe. Da seine Verwandten während des Krieges enteignet und vertrieben worden seien und kaum über ein genügendes Einkommen verfügen würden, seien diese nicht in der Lage, ihm bei der Bestreitung des Lebensunterhaltes zu helfen, weshalb die Unzumutbarkeit des Wegweisungsvollzugs festzustellen sei.</w:t>
      </w:r>
    </w:p>
    <w:p>
      <w:r>
        <w:rPr>
          <w:b/>
        </w:rPr>
        <w:t>E. 3.3</w:t>
      </w:r>
    </w:p>
    <w:p>
      <w:r>
        <w:t>Die Einschätzung des BFM, wonach sich aus den wesentlichen Vorbringen des Beschwerdeführers keine asylrelevante Gefährdungssituation ergebe, ist - wie nachfolgend aufgezeigt - zu bestätigen.</w:t>
      </w:r>
    </w:p>
    <w:p>
      <w:r>
        <w:rPr>
          <w:b/>
        </w:rPr>
        <w:t>E. 3.3.1</w:t>
      </w:r>
    </w:p>
    <w:p>
      <w:r>
        <w:t>Vorab ist auf die ausführliche Lageanalyse im zur Publikation bestimmten Urteil des Bundesverwaltungsgerichts BVGE E 6220/2006 vom 27. Oktober 2011 zu hinzuweisen. Darin stellte das Gericht im Wesentlichen fest, dass sich die Lage in Sri Lanka seit Beendigung des militärischen Konflikts zwischen der srilankischen Armee und den LTTE im Mai 2009 erheblich verbessert hat (vgl. a.a.O. E. 7). Militärisch gilt die LTTE als vernichtet und auch die Sicherheitslage hat sich in bedeutsamer Weise stabilisiert. Gleichzeitig aber hat sich die Menschenrechtslage vor allem hinsichtlich der Meinungsäusserungs- und Pressefreiheit weiter verschlechtert. Politisch Oppositionelle werden seitens der Regierung als Staatsfeinde betrachtet und müssen mit entsprechenden Verfolgungsmassnahmen rechnen. Angesichts der allgemein verbesserten Lage definierte das Gericht Personenkreise, welche einer erhöhten Verfolgungsgefahr unterliegen (vgl. a.a.O. E. 8). Darunter fallen Personen, welche auch nach Beendigung des Krieges verdächtigt werden, mit den LTTE in Verbindung zu stehen, beziehungsweise gestanden zu haben. Auch unabhängige Journalisten beziehungsweise regierungskritische Medienschaffende verfügen über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w:t>
      </w:r>
    </w:p>
    <w:p>
      <w:r>
        <w:rPr>
          <w:b/>
        </w:rPr>
        <w:t>E. 3.3.2</w:t>
      </w:r>
    </w:p>
    <w:p>
      <w:r>
        <w:t>Im Folgenden ist daher zu prüfen, inwieweit der Beschwerdeführer - allenfalls als Angehöriger einer Risikogruppe - im Falle einer Rückkehr in sein Heimatland eine begründete Furcht vor asylbeachtlicher Verfolgung im Sinne von Art. 3 AsylG hat.</w:t>
      </w:r>
    </w:p>
    <w:p>
      <w:r>
        <w:rPr>
          <w:b/>
        </w:rPr>
        <w:t>E. 3.3.3</w:t>
      </w:r>
    </w:p>
    <w:p>
      <w:r>
        <w:t>Bezüglich der geltend gemachten Verfolgung durch die sri-lan­ki­schen Sicherheitskräfte aufgrund des Verdachts von Unterstützungstätigkeiten zugunsten der LTTE kann festgehalten werden, dass der Beschwerdeführer eigenen Angaben zufolge zu keinem Zeitpunkt für die LTTE tätig gewesen ist und sich in seinen Schilderungen keine Hinweise darauf entnehmen lassen, die sri-lankischen Behörden hätten ein begründetes Interesse an seiner Verfolgung. Es ist daher nicht davon auszugehen, es bestehe seitens der Behörden ein Verfolgungsinteresse aufgrund einer mutmasslichen Verbindung zu den LTTE. Zwar brachte der Beschwerdeführer vor, nach seiner Rückkehr von F._______ im Jahr (...) in Colombo von sri-lankischen Sicherheitskräften festgenommen und für (...) Monate festgehalten worden zu sein. Zu den Gründen, die zum Freiheitsentzug geführt hätten, führte der Beschwerdeführer aus, aufgrund seines Aufenthaltes in F._______ verdächtigt worden zu sein, die LTTE zu unterstützen. Die geltend gemachte Haft erweist sich gestützt auf seine Aussagen und vor dem Hintergrund der allgemein angespannten Lage während des Bürgerkrieges als durchaus wahrscheinlich und wird auch durch das in Kopie eingereichte Bestätigungsschreiben des IKRK belegt. Indes stellt der einmalige Freiheitsentzug - wie vom BFM festgestellt - ein zu wenig intensives Ereignis dar, als dass ein diesbezügliches Verfolgungsinteresse seitens der Sicherheitskräfte als überwiegend wahrscheinlich zu qualifizieren ist. Der Beschwerdeführer gab zu Protokoll, während seiner Gefangenschaft im Gefängnis von G._______ unter anderem mit Stöcken geschlagen worden zu sein, was zu Verletzungen an seinen Füssen geführt habe. Zur Stützung seiner geltend gemachten gesundheitlichen Probleme gelangte der Beschwerdeführer unter Beifügung eines ärztlichen Zeugnisses (datiert vom 28. Januar 2012) am 8. Februar 2012 an das Bundesverwaltungsgericht. Dem medizinischen Bericht kann entnommen werden, dass (Darlegung gesundheitliche Beschwerden). Das Arztzeugnis beschränkt sich jedoch darauf, die gesundheitlichen Beschwerden des Beschwerdeführers pauschal auf Gewaltanwendung während des Gefängnisaufenthaltes zurückzuführen. Mangels Substantiiertheit kann vorliegend nicht ohne Weiteres auf Folterhandlungen während des Gefängnisaufenthaltes geschlossen werden. Dass (Darlegung gesundheitliche Beschwerden), ist in Anbetracht des Vorbringens, dass der Beschwerdeführer durch das Gefängnispersonal mit Stöcken an (Nennung Körperteil) geschädigt worden sei, als Folge einer Misshandlung während des Gefängnisaufenthaltes möglich, jedoch lieferten weder der Beschwerdeführer noch sein Arzt eine detaillierte Erklärung zu weiteren denkbaren Ursachen der genannten Beschwerden. Zumindest machte der Beschwerdeführer weder im Rahmen der Befragungen noch in seiner Rechtsmitteleingabe geltend, ihm sei (Nennung Folterhandlung) worden. Zudem ist festzustellen, dass im Arztzeugnis weitere vom Beschwerdeführer vorgebrachte, während der Haft erlittene Verletzungen (Nennung Verletzungen; vgl. A16/S. 6) nicht aufgeführt sind.</w:t>
      </w:r>
    </w:p>
    <w:p>
      <w:r>
        <w:rPr>
          <w:b/>
        </w:rPr>
        <w:t>E. 3.3.4</w:t>
      </w:r>
    </w:p>
    <w:p>
      <w:r>
        <w:t>Der Beschwerdeführer macht zudem geltend, im Nachgang an die Freilassung durch die Polizei beziehungsweise durch Mitarbeiter des CID gesucht worden zu sein. Dass er seither offenbar nie weitergehenden Massnahmen unterzogen wurde, weist ebenfalls auf ein mangelndes Verfolgungsinteresse der sri-lankischen Sicherheitskräfte hin. Läge seitens der sri-lankischen Sicherheitskräfte tatsächlich ein Interesse an seiner Verfolgung vor, ist davon auszugehen, sie hätten ihn bei der bestandenen Gelegenheit erneut verhaftet. Vorliegend erstaunt nämlich der Umstand, dass das CID bei der Kontrolle der Gästeliste der Lodge, in der sich der Beschwerdeführer mit seiner Mutter versteckt hielt, nicht auf ihn aufmerksam wurde und sich in der Folge zurückzog. Daneben liegen keine objektiven Hinweise darauf vor, dass der Beschwerdeführer in Sri Lanka gesucht würde. So war es ihm nach seiner Freilassung offenbar möglich, unbehelligt im Grossraum Colombo zu leben. Obwohl die subjektive Furcht vor Verfolgung des Beschwerdeführers in Anbetracht der Erlebnisse während des Krieges nachvollziehbar ist, liegen aus objektiver Sicht keine Hinweise darauf vor, er werde aktuell durch die sri-lankischen Sicherheitskräfte gesucht. Das fehlende Risikoprofil und die Tatsache, dass er keinen asylrelevanten Verfolgungsmassnahmen unterzogen wurde, lassen eine zukünftige Verfolgung durch die sri-lankischen Sicherheitskräfte als überwiegend unwahrscheinlich erscheinen.</w:t>
      </w:r>
    </w:p>
    <w:p>
      <w:r>
        <w:rPr>
          <w:b/>
        </w:rPr>
        <w:t>E. 3.3.5</w:t>
      </w:r>
    </w:p>
    <w:p>
      <w:r>
        <w:t>Die geltend gemachten Vorbringen vermitteln insgesamt nicht den Eindruck einer zielgerichtet und intensiv verfolgten Person vor Ort. Bei einem ernsthaften Verdacht der staatlichen Behörden, dass sich der Beschwerdeführer an terroristischen Aktivitäten beteiligt hätte oder sonst eine Gefahr für die Sicherheit des sri-lankischen Staates darstellen würde, hätte die Polizei ihn bei bestandener Gelegenheit verhaftet. Gemäss Erkenntnissen der schweizerischen Asylbehörden geht der sri-lankische Staat nämlich rigoros gegen Terrorverdächtige vor. Die Furcht des Beschwerdeführers vor einer Verfolgung im Heimatland ist daher als objektiv nicht begründet im Sinne des Asylgesetzes einzustufen. An dieser Einschätzung vermögen auch die eingereichten Beweismittel nichts zu ändern, zumal sie sich auf einen Umstand beziehen, namentlich die Gefangenschaft, welcher vom Bundesverwaltungsgericht nicht in Zweifel gezogen wird.</w:t>
      </w:r>
    </w:p>
    <w:p>
      <w:r>
        <w:rPr>
          <w:b/>
        </w:rPr>
        <w:t>E. 3.3.6</w:t>
      </w:r>
    </w:p>
    <w:p>
      <w:r>
        <w:t>Zusammenfassend ergibt sich, dass die Vorinstanz unter Berücksichtigung sämtlicher Risikofaktoren damit zu Recht zum Schluss gekommen ist, dass der Beschwerdeführer weder einer bei einer Rückkehr gefährdeten Personenkategorie zugehörig zu erklären ist noch eine zukünftige Verfolgung aufgrund einer relevanten Verfolgungsmotivation mit erheblicher Wahrscheinlichkeit gewärtigen muss. Seine Vorbringen sind insgesamt als nicht asylbeachtlich ausgefallen, weshalb auf die entsprechenden vorinstanzlichen Erwägungen verwiesen wird. Der Beschwerdeführer erfüllt diesen Erwägungen gemäss die Flüchtlingseigenschaft nicht, weshalb das Bundesamt das Asylgesuch zu Recht abgelehnt hat.</w:t>
      </w:r>
    </w:p>
    <w:p>
      <w:r>
        <w:rPr>
          <w:b/>
        </w:rPr>
        <w:t>E. 4</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(Art. 44 Abs. 1 AsylG; vgl. BVGE 2009/50 E. 9).</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5.2.3</w:t>
      </w:r>
    </w:p>
    <w:p>
      <w:r>
        <w:t>Sodann ergeben sich weder aus den Aussagen des Beschwerdeführers noch aus den Akten Anhaltspunkte dafür, dass er für den Fall einer Ausschaffung nach Sri Lanka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Das BFM führte in der angefochtenen Verfügung vom 27. Mai 2011 aus, weder die allgemeine Lage im Distrikt von C._______ noch die individuelle Situation des Beschwerdeführers würden gegen die Zumutbarkeit des Wegweisungsvollzugs sprechen. Insbesondere verfüge der Beschwerdeführer in Sri Lanka über ein soziales und familiäres Beziehungsnetz und über langjährige Berufserfahrung.</w:t>
      </w:r>
    </w:p>
    <w:p>
      <w:r>
        <w:rPr>
          <w:b/>
        </w:rPr>
        <w:t>E. 5.3.3</w:t>
      </w:r>
    </w:p>
    <w:p>
      <w:r>
        <w:t>Der Beschwerdeführer entgegnete dem in seiner Rechtsmitteleingabe, die aktuelle Sicherheits- und Menschenrechtslage sei vor allem im Norden und Osten des Landes noch klar ungenügend, um einen Wegweisungsvollzug zu ermöglichen.</w:t>
      </w:r>
    </w:p>
    <w:p>
      <w:r>
        <w:rPr>
          <w:b/>
        </w:rPr>
        <w:t>E. 5.3.4</w:t>
      </w:r>
    </w:p>
    <w:p>
      <w:r>
        <w:t>Im Zusammenhang mit diesem Einwand ist vorweg festzuhalten, dass der Beschwerdeführer mit überwiegender Wahrscheinlichkeit keine begründete Furcht vor asylrechtlich relevanten Nachteilen hegen muss (vgl. E. 2.5.2 ff.). In Bezug auf die allgemeine Lage in Sri Lanka kann erneut auf die vom Bundesverwaltungsgericht vorgenommene Einschätzung der Situation im zur Publikation bestimmten Grundsatzurteil verwiesen werden (vgl. BVGE E-6220/2006 vom 27. Oktober 2011), welche im Wesentlichen mit der Praxis der Vorinstanz übereinstimmt. Demzufolge ist seit dem Ende des bewaffneten Konflikts zwischen der sri-lankischen Armee und den LTTE im Mai 2009 von einer erheblich verbesserten Menschenrechts- und Sicherheitslage auszugehen, wobei sich die Situation nicht in allen Landesteilen gleich präsentiert (vgl. a.a.O. E. 12). Da sich die Lage in der Ostprovinz weitgehend stabilisiert und normalisiert hat, wird der Wegweisungsvollzug in das gesamte Gebiet der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Bürgerkrieges im Mai 2009 verlassen haben, grundsätzlich zumutbar, sofern sie dort auf eine zumindest gleichwertige Wohnsituation wie vor der Ausreise zurückgreifen können.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In das sogenannte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In das übrige Staatsgebiet Sri Lankas ist der Wegweisungsvollzug indessen grundsätzlich zumutbar (vgl. a.a.O. E.13.3).</w:t>
      </w:r>
    </w:p>
    <w:p>
      <w:r>
        <w:rPr>
          <w:b/>
        </w:rPr>
        <w:t>E. 5.3.5</w:t>
      </w:r>
    </w:p>
    <w:p>
      <w:r>
        <w:t>Der Beschwerdeführer stammt eigenen Angaben zufolge aus C._______, wo er zur Schule gegangen sei und eine Ausbildung zum (...) absolviert habe. Im Jahr (...) sei er nach F._______ ausgereist, wo er eine befristete Arbeitsstelle angenommen habe. Die Arbeitsbedingungen in F._______ seien schlecht gewesen, weshalb er nach Ablauf des Vertrages im (...) nach Sri Lanka habe zurückkehren müssen. Nach seiner Rückkehr aus F._______ sei er nicht mehr in C._______ gewesen. Bei dieser Sachlage stellt sich die Frage, ob dem Beschwerdeführer eine Rückkehr in den Distrikt von C._______, Nordprovinz, aufgrund einer individuellen Prüfung der Verhältnisse zuzumuten ist. Die Bejahung der Zumutbarkeit einer Rückkehr in die Nordprovinz - mit Ausnahme des Vanni-Gebiets - setzt insbesondere die Existenz eines tragfähigen Beziehungsnetzes, die konkrete Möglichkeit der Sicherung des Existenzminimums sowie eine gesicherte Wohnsituation voraus (vgl. a.a.O. E. 13.2.1.2). Solche begünstigende Faktoren liegen im Fall des Beschwerdeführers vor. Er hat seine gesamte Kindheit und Jugend im Grossraum C._______ verbracht, wo er mit seiner Familie sowie mehreren Tanten und Onkeln über mehrere, teils enge Bezugspersonen verfügt. Aus all diesen Gründen kann davon ausgegangen werden, er verfüge im Grossraum C._______ über ein tragfähiges Beziehungsnetz. Der Einwand in der Rechtsmitteleingabe, wonach alle seine Verwandten in schwierigen finanziellen Verhältnissen leben würden, vermag an dieser Einschätzung nichts zu ändern. Es darf vorliegend angenommen werden, die Verwandten würden den Beschwerdeführer bei der Wiedereingliederung in seiner Heimat unterstützen, auch wenn diese Hilfe nicht finanzieller Natur sein sollte. Zudem verfügt er durch die Erwerbstätigkeiten, die er vor seiner Ausreise ausführte, und seine Anstellung in der Schweiz über eine gewisse Berufserfahrung, welche sich auf eine Reintegration im Heimatort begünstigend auswirken dürfte. Es ist daher davon auszugehen, dass es dem Beschwerdeführer möglich ist, sich auch nach einer längeren Abwesenheit im Heimatstaat eine Existenz aufzubauen, weshalb sich der Vollzug der Wegweisung unter dem Aspekt der Reintegration als zumutbar erweist.</w:t>
      </w:r>
    </w:p>
    <w:p>
      <w:r>
        <w:rPr>
          <w:b/>
        </w:rPr>
        <w:t>E. 5.3.6</w:t>
      </w:r>
    </w:p>
    <w:p>
      <w:r>
        <w:t>An dieser Stelle ist vollständigkeitshalber festzuhalten, dass auch die geltend gemachten gesundheitlichen Probleme dem Wegweisungsvollzug nicht entgegenstehen. Dies wäre nämlich dann der Fall, wenn die beschwerdeführende Person bei einer Rückkehr in ihren Heimatstaat einer konkreten Gefährdung ausgesetzt wäre, weil sie die absolut notwendige medizinische Versorgung nicht erhalten könnte oder - aus objektiver Sicht - wegen der vorherrschenden Verhältnisse mit grosser Wahrscheinlichkeit unwiederbringlich in völlige Armut gestossen würde, dem Hunger und somit einer ernsthaften Verschlechterung ihres Gesundheitszustands, der Invalidität oder sogar dem Tod ausgeliefert wäre (vgl. BVGE 2009/52 E. 10.1 S. 756 f., BVGE 2009/51 E. 5.5 S. 748). Die vom Beschwerdeführer durch seinen Arzt attestierten Beschwerden werden bereits medizinisch behandelt und erweisen sich nicht als derart schwerwiegend, dass diese eine aufwendige, kostspielige und in seiner Heimat nicht durchführbare Nachbehandlung nach sich ziehen würden.</w:t>
      </w:r>
    </w:p>
    <w:p>
      <w:r>
        <w:rPr>
          <w:b/>
        </w:rPr>
        <w:t>E. 5.3.7</w:t>
      </w:r>
    </w:p>
    <w:p>
      <w:r>
        <w:t>Der Vollzug der Wegweisung erweist sich somit - auch in Berücksichtigung der gesundheitlichen Situation als zulässig im Sinne der asyl- als auch der völkerrechtlichen Be­stimmungen</w:t>
      </w:r>
    </w:p>
    <w:p>
      <w:r>
        <w:rPr>
          <w:b/>
        </w:rPr>
        <w:t>E. 5.4</w:t>
      </w:r>
    </w:p>
    <w:p>
      <w:r>
        <w:t>Mit 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5.5</w:t>
      </w:r>
    </w:p>
    <w:p>
      <w:r>
        <w:t>Mit 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und mit dem am 14. Februar 2012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