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D-6339/2012 vom 5. Juni 2014</w:t>
      </w:r>
    </w:p>
    <w:p>
      <w:r>
        <w:t>Bundesverwaltungsgericht, 2014-06-05, DE</w:t>
      </w:r>
    </w:p>
    <w:p>
      <w:r>
        <w:rPr>
          <w:b/>
        </w:rPr>
        <w:t xml:space="preserve">Quelle: </w:t>
      </w:r>
      <w:r>
        <w:t>https://mcp.opencaselaw.ch/entscheid/bvger_D-6339_2012</w:t>
      </w:r>
    </w:p>
    <w:p>
      <w:r>
        <w:t>FR: TAF D-6339/2012 du 5 juin 2014</w:t>
      </w:r>
    </w:p>
    <w:p>
      <w:r>
        <w:t>IT: TAF D-6339/2012 del 5 giugno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Gemäss Absatz 1 der Übergangsbestimmungen zur Änderung vom 14. Dezember 2012 des AsylG gilt für die im Zeitpunkt des Inkrafttretens der Änderung vom 14. Dezember 2012 dieses Gesetzes hängigen Verfah­ren mit Ausnahme der Absätze 2-4 das neue Recht.</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Die Beschwerdeführenden rügen eine Verletzung der Begrün­dungs­pflicht durch das BFM. So berufe sich die Vorinstanz im Zusammenhang mit der Kandidatur des Beschwerdeführers auf "interne Abklärungen", wo­nach der Beschwerdeführer nicht als Kandidat für seine Partei nominiert wor­den sei, lege aber nicht offen, welche Abklärungen getroffen worden seien. Dazu ist festzuhalten, dass die Entscheide des BFM gestützt auf das Amtswissen, welches seinerseits auf der Berücksichtigung aktueller Quellen und neuer Erkenntnisse - vermittelt auch durch amtsinterne so­wie öffentlich zugängliche Datenbanken - beruht, ergehen. Eine Offenle­gung beziehungsweise eine Auflistung sämtlicher verwendeter Quellen in Verfügungen ist im Verwaltungsverfahren weder üblich noch er­forderlich, zumal es sich bei einer Verfügung nicht um eine wissenschaftli­che Abhand­lung handelt. Die Begründungspflicht dient nicht der Offenlegung von Amtswissen. Sie verlangt vielmehr, dass das Bundes­amt die wesentli­chen Überlegungen nennt, die es dem konkreten Entscheid zugrunde legt. Ob die vorliegende Verfügung diesen Ansprüchen genügt, kann aber offen gelassen werden, da die Beschwerde im Rahmen eines re­formatorischen Entscheids vollumfänglich gutzuheissen ist. Entspre­chend ist auch auf den Vorwurf, das Bundesverwaltungsgericht habe die Botschaftsantwort betreffend Ungereimtheiten in einem Dokument nicht hin­reichend zur Kenntnis gebracht, nicht näher einzugehen.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4.3.1</w:t>
      </w:r>
    </w:p>
    <w:p>
      <w:r>
        <w:t>Im angefochtenen Entscheid zweifelt das BFM am geltend gemach­ten politischen Profil des Beschwerdeführers beziehungsweise insbeson­dere an seiner Kandidatur als Vertreter der OGP für die Parlamentswah­len und verweist in diesem Zusammenhang auf eigene Abklärungen. Diese Sicht­weise vermag aber insofern nicht zu überzeugen, als er ja an­gab, eine solche Kandidatur sei lediglich geplant gewesen und in der Folge nicht zustande gekommen, was im Übrigen auch mit dem eingereich­ten diesbezüglichen Beweismittel übereinstimmt. Im Weiteren macht er auch nicht geltend, ihm sei eine hohe Funktion bei der Partei zuge­kommen beziehungsweise er habe an politisch exponierten Auftritten teilgenommen. Dass im Rahmen der Botschaftsabklärungen seine Nomina­tion durch die OGP als Kandidat für die Parlamentswahlen von 2012 nicht bestätigt werden konnte, kann mithin nicht gegen die Glaubhaftig­keit des von ihm dargelegten politischen Engagements angese­hen werden. Abge­sehen davon entschloss sich die OGP, die Wah­len vom September 2012 zu boykottieren (vgl. Wikipedia, Parla­mentswah­len in Weissrussland 2012, abgerufen am 16. August 2013), und stellte demnach keine Kandidaten.</w:t>
      </w:r>
    </w:p>
    <w:p>
      <w:r>
        <w:rPr>
          <w:b/>
        </w:rPr>
        <w:t>E. 4.3.2</w:t>
      </w:r>
    </w:p>
    <w:p>
      <w:r>
        <w:t>Im Ergebnis und in Würdigung seiner diesbezüglich durchaus substan­ziierten Angaben ist mithin davon auszugehen, dass der Beschwer­deführer im geschilderten Ausmass tatsächlich für die OGP tätig war.</w:t>
      </w:r>
    </w:p>
    <w:p>
      <w:r>
        <w:rPr>
          <w:b/>
        </w:rPr>
        <w:t>E. 4.4</w:t>
      </w:r>
    </w:p>
    <w:p>
      <w:r>
        <w:t>Nach Lehre und Rechtsprechung erfüllt eine asylsuchende Person die Flüchtlingseigenschaft im Sinne von Art. 3 AsylG, wenn sie Nachteile von bestimmter Intensität erlitten hat beziehungsweise mit beachtlicher Wahr­scheinlichkeit und in absehbarer Zukunft begründeterweise befürchten muss, welche ihr gezielt und aufgrund bestimmter, in Art. 3 Abs. 1 AsylG aufgezählter Verfolgungsmotive zugefügt worden sind beziehungs­weise zu­gefügt zu werden drohen, und gegen welche sie die Organe des Hei­mat- oder Herkunftsstaates nicht schützen wollen oder können. Be­grün­dete Furcht vor Verfolgung im Sinne von Art. 3 AsylG liegt vor, wenn kon­kreter Anlass zur Annahme besteht, diese hätte sich mit beachtlicher Wahr­scheinlichkeit und in absehbarer Zeit verwirklicht, bezie­hungsweise werde sich mit ebensolcher Wahrscheinlichkeit in absehbarer Zukunft ver­wirklichen. Dabei genügt es nicht, dass diese Furcht lediglich mit Vor­komm­nissen oder Umständen, die sich früher oder später möglicherweise ereignen könnten, begründet wird. Ob in einem bestimmten Fall eine sol­che Wahrscheinlichkeit besteht, ist aufgrund einer objektivierten Be­trach­tungsweise zu beurteilen. Es müssen somit hinreichend konkrete Indizien vorliegen, welche den Eintritt der erwarteten - und aus einem der vom Ge­setz aufgezählten Motive erfolgenden - Benachteiligung als wahr­schein­lich und dementsprechend die Furcht davor als realistisch und nach­vollziehbar erscheinen lassen (vgl. BVGE 2010/9 E. 5.2).</w:t>
      </w:r>
    </w:p>
    <w:p>
      <w:r>
        <w:rPr>
          <w:b/>
        </w:rPr>
        <w:t>E. 4.5</w:t>
      </w:r>
    </w:p>
    <w:p>
      <w:r>
        <w:t>Das BFM hat die Glaubhaftigkeit der weiteren Vorkommnisse im erstin­stanzlichen Verfahren nicht geprüft, aber deren Asylrelevanz ver­neint. In ausführlichen Erwägungen kommt die Vorinstanz zum Schluss, die gel­tend gemachten Vorbringen hätten den Beschwerdeführenden ein menschenwürdiges Leben im Herkunftsstaat nicht verunmöglicht. Diese Sichtweise erscheint in Anbetracht eines blossen Administrativverfahrens ohne Beteiligung des KGB als möglicherweise gerechtfertigt. So lässt sich den Befragungsprotokollen jedenfalls nicht schlüssig entnehmen, dass bereits vor der Ausreise ein Verfahren verbun­den mit einer allenfalls drohenden längeren Haftstrafe gegen den Be­schwerdeführer eingeleitet worden wäre (A 18/24 Antworten 99, 136, 166 und 173). Es war den Be­schwerdeführenden denn auch möglich, Belarus legal zu verlassen. So­weit das BFM ferner erwägt, Personen mit dem Profil des Be­schwer­defüh­rers hätten grundsätzlich lediglich eine Geldstrafe zu befürch­ten, kann ihm nicht vorbehaltlos zugestimmt werden. (vgl. United Na­tions, Human Rights Council, A/HRC23/52 vom 18. April 2013, S. 1 ff.). In der genannten Quelle wird zudem darauf hingewiesen, Oppositionelle würden unter ungerechtfertigten Anklagepunkten inhaftiert und misshan­delt (a.a.O. S. 15). Vor diesem Hintergrund könnte es sich bei den von den Beschwerdeführenden für den Zeitraum bis zur Ausreise geltend ge­machten Erlebnissen durchaus auch um geplante Ein­schüch­terungen durch die weissrussischen Behörden gehandelt haben. Auch die geschäftli­chen Schwierigkeiten des Beschwerdeführers erschienen in die­sem Lichte besehen als ge­zielte und aus asylrechtlichen Motiven erfolgte Behelligungen. Ob damit vor der Ausreise schon eine asylrelevante Intensi­tät erreicht worden wäre, kann in Anbetracht der seitherigen Entwick­lung indes offen gelassen werden. Es ist nach dem Gesagten jeden­falls davon auszugehen, dass der Beschwerdeführer im Rahmen des vor Ort operierenden Überwachungsstaats bereits vor der Ausreise ein ge­wisses behördliches Interesse aus politischen Gründen geweckt hat. Die Beschwerdeführenden vermittelten anlässlich der Befragungen al­lerdings nicht den Eindruck, bereits im Zeitpunkt der legalen Aus­reise eine Rückkehr ins Heimatland wegen drohender asylrelevanter Verfol­gung definitiv ausgeschlossen zu haben. Erst die Warnung des in der Schweiz weilenden Beschwerdeführers durch einen bei den Sicherheits­behörden arbeitenden Bekannten mit dem Hinweis auf gravie­rende Nachteile bei der Rückkehr soll zu diesem Schluss geführt haben.</w:t>
      </w:r>
    </w:p>
    <w:p>
      <w:r>
        <w:rPr>
          <w:b/>
        </w:rPr>
        <w:t>E. 4.6.1</w:t>
      </w:r>
    </w:p>
    <w:p>
      <w:r>
        <w:t>Massgeblich für die Beurteilung der Flüchtlingseigenschaft nach Art. 3 AsylG ist nicht allein die Situation im Zeitpunkt der Ausreise, son­dern insbesondere auch die Situation im Zeitpunkt des Asylentscheides. So ist gegebenenfalls auch eine asylsuchende Person als Flüchtling anzuer­kennen, die erst aufgrund von Ereignissen nach ihrer Ausreise - auf­grund objektiver oder subjektiver Nachfluchtgründe - im Falle einer Rück­kehr in ihren Heimat- oder Herkunftsstaat in flüchtlingsrechtlich rele­vanter Weise verfolgt würde.</w:t>
      </w:r>
    </w:p>
    <w:p>
      <w:r>
        <w:rPr>
          <w:b/>
        </w:rPr>
        <w:t>E. 4.6.2</w:t>
      </w:r>
    </w:p>
    <w:p>
      <w:r>
        <w:t>Objektive Nachfluchtgründe sind dann gegeben, wenn äussere Um­stände, auf welche die asylsuchende Person keinen Einfluss nehmen konnte, zur drohenden Verfolgung führen; der von Verfolgung bedrohten Person ist in diesen Fällen die Flüchtlingseigenschaft zuzuerkennen und Asyl zu gewähren.</w:t>
      </w:r>
    </w:p>
    <w:p>
      <w:r>
        <w:rPr>
          <w:b/>
        </w:rPr>
        <w:t>E. 4.7</w:t>
      </w:r>
    </w:p>
    <w:p>
      <w:r>
        <w:t>Seit der Präsidentschaftswahl in Belarus vom Dezember 2010 ist es zu einer Zunahme staatlicher Repressionen gegen Oppositionelle, nament­lich zu zahlreichen Verhaftungen von Demonstrationsteilnehmenden ge­kommen (vgl. Urteil des BVGer E 848/2009 vom 18. Juni 2012 E. 5.3; Bureau of De­mocracy Human Rights and Labor, Country Re­ports on Human Rights Practices 2012, abgerufen am 16. August 2013). Auch wenn so noch keine Anhaltspunkte dafür vorliegen, dass Oppositionsanhänger generell mit erheblichen Repressalien zu rechnen hätten, muss dieser Entwick­lung im vorliegenden Fall insofern Rechnung getragen werden, als offen­sichtlich nicht nur Personen mit herausragendem politischem Engage­ment von behördlicher Einschüchterung und Inhaftierung betroffen sein kön­nen. Weiteren Quellen zufolge sind die Sicherheitskräfte auch im aktuel­len Zeitpunkt intensiv darum bemüht, den Spielraum der Opposition einzu­schränken (vgl. amnesty-magazin vom März 2014 S. 22 ff.; NZZ vom 9. Mai 2014 S. 5; Menschenrechte in Belarus e.V., zur Lage der Menschen­rechte in Belarus, 1. Auflage, Berlin, Januar 2014).</w:t>
      </w:r>
    </w:p>
    <w:p>
      <w:r>
        <w:rPr>
          <w:b/>
        </w:rPr>
        <w:t>E. 4.8</w:t>
      </w:r>
    </w:p>
    <w:p>
      <w:r>
        <w:t>Die vom Bundesverwaltungsgericht mit Abklärungen vor Ort beauf­tragte Botschaft hat zwar gewisse, aber in Anbetracht der Formulierungen nicht massgebliche Zweifel an der Echtheit des einen amtlichen Doku­ments der Ermittlungsbehörden geäussert. Die Vorinstanz hatte in der Ver­nehmlassung keine Fälschungsmerkmale des besagten Dokuments er­kannt. Die geltend gemachte Übergabe der Verfahrenshoheit an den KGB respektive das Bestehen eines beziehungsweise mehrerer Verfah­ren gegen den Beschwerdeführer sind mithin nicht mit entscheidrelevan­ten Zweifeln behaftet. Ferner ist der Beweiswert der weiteren Schreiben von Verwandten und Bekannten im Hinblick auf die wiederholten behördli­chen Vorfälle auch nach der Ausreise des Beschwerdeführers zwar praxis­gemäss als beschränkt zu bezeichnen. Die Glaubhaftigkeit der gel­tend gemachten Vorgehensweise der Behörden gegen den Beschwerdefüh­rer beziehungsweise dessen Angehörige nach der Aus­reise wie namentlich auch die Vorladungen wegen eines Brandfalls er­fährt dadurch aber in einem gewissen Ausmass ihre weitere Bestätigung, zumal betreffend des Brands auch behördliche Dokumente eingereicht wurden. Es erscheint in Anbetracht des politischen Engagements des Beschwerde­führers vor der Ausreise und den wiederholten, nach dem Ge­sagten als glaubhaft zu erachtenden Vorfällen danach und namentlich der Übergabe der Verfahrenshoheit an den KGB nunmehr als beachtlich wahrscheinlich, dass er im Falle der Rückkehr mit einem beziehungs­weise mehreren Verfahren konfrontiert wäre, deren Ausgang und Konse­quenzen jedenfalls nicht (mehr) mit einer blossen allfälligen Busse in ei­nem Administrativverfahren gleichzusetzen sind. Es entspricht schliesslich offenbar ei­ner weissrussischen Behördenpraxis, missliebige Bürger (auch) unter dem Vorwand angeblich krimineller Taten zu drangsalieren (vgl. wiederum United Nations, Human Rights Council, A/HRC23/52 vom 18. April 2013, S. 1). Sodann ist nochmals auf die Abklärung vor Ort zu verweisen, ge­mäss welcher die Übergabe der Verfahrenshoheit an den KGB den Be­schwerdeführer betreffend möglicherweise auf ernsthaftere Fallumstände hindeutet, zumal diese Behörde in Fällen von grosser gesellschaftlicher Re­sonanz ermittelt. Somit ist der Beschwerdeführer im aktuellen Zeit­punkt nicht (mehr) derjenigen Gruppe von Oppositionellen, welche nicht mit beachtlicher Wahrscheinlichkeit ernsthafte Nachteile zu befürchten ha­ben, zuzuordnen. Entsprechend ist nunmehr von begründeter Furcht vor Nachteilen asylrelevanten Aus­masses , nämlich der Festnahme des Beschwerdeführers ver­bunden mit Misshandlungen und einer längeren Haftstrafe, auszugehen. Eine innerstaatliche Fluchtalternative bestünde offensichtlich nicht. Ob diese Situation bereits im Zeitpunkt der Ausreise bestand oder - was in Anbetracht der legalen Ausreise bezie­hungsweise obenstehender Erwägungen zu den nachfolgenden Ereignissen näher liegt - sich seither im Sinne objektiver Nachfluchtgründe akzentuiert hat, kann in Anbetracht der übereinstimmenden asylrechtlichen Konsequenzen offen gelassen wer­den.</w:t>
      </w:r>
    </w:p>
    <w:p>
      <w:r>
        <w:rPr>
          <w:b/>
        </w:rPr>
        <w:t>E. 5.1</w:t>
      </w:r>
    </w:p>
    <w:p>
      <w:r>
        <w:t>Zusammenfassend ergibt sich, dass die Voraussetzungen von Art. 3 und 7 AsylG beim Beschwerdeführer im aktuellen Zeitpunkt erfüllt sind. Den Akten können sodann keine kon­kreten Hin­weise auf das Vorliegen von Asylausschlussgründen entnommen werden. Dem­nach ist das BFM an­zuwei­sen, dem Beschwerdeführer Asyl zu gewähren. Bei dieser Sach­lage erübrigen sich die beantragten weiteren Abklärungen.</w:t>
      </w:r>
    </w:p>
    <w:p>
      <w:r>
        <w:rPr>
          <w:b/>
        </w:rPr>
        <w:t>E. 5.2</w:t>
      </w:r>
    </w:p>
    <w:p>
      <w:r>
        <w:t>Die Beschwerdeführerin macht kein eigenes politisches Engagement geltend. In Anbetracht der Fallumstände muss sie aber damit rechnen, we­gen ihres Gatten ernsthaften behördlichen Massnahmen ausgesetzt zu werden. Die Voraussetzungen von Art. 3 und 7 AsylG sind bei ihr eben­falls erfüllt. Dem­nach ist das BFM anzuwei­sen, auch ihr Asyl zu gewäh­ren.</w:t>
      </w:r>
    </w:p>
    <w:p>
      <w:r>
        <w:rPr>
          <w:b/>
        </w:rPr>
        <w:t>E. 5.3</w:t>
      </w:r>
    </w:p>
    <w:p>
      <w:r>
        <w:t>Die minderjährigen Kinder der Beschwerdeführenden sind in die Flücht­lingsei­genschaft ihrer Eltern einzubeziehen (Art. 51 Abs. 1 AsylG).</w:t>
      </w:r>
    </w:p>
    <w:p>
      <w:r>
        <w:rPr>
          <w:b/>
        </w:rPr>
        <w:t>E. 6.1</w:t>
      </w:r>
    </w:p>
    <w:p>
      <w:r>
        <w:t>Bei diesem Ausgang des Verfahrens sind keine Kosten aufzuerle­gen.</w:t>
      </w:r>
    </w:p>
    <w:p>
      <w:r>
        <w:rPr>
          <w:b/>
        </w:rPr>
        <w:t>E. 6.2</w:t>
      </w:r>
    </w:p>
    <w:p>
      <w:r>
        <w:t>Obsiegende Parteien haben Anspruch auf eine Parteient­schädi­gung für die ihnen erwachsenen notwendigen Kosten (Art. 7 Abs. 1 des Regle­ments vom 21. Februar 2008 über die Kosten und Ent­schä­di­gungen vor dem Bundes­verwaltungsgericht [VGKE, SR 173.320.2]). Nach­dem sich der not­wendige Vertretungsaufwand aufgrund der Ak­ten­lage hin­rei­chend zu­verlässig abschätzen lässt, er­übrigt sich die beantragte Einholung einer Kostennote. Die Parteientschädigung ist auf Fr. 3'000.- (in­klusive Ausla­gen und allfällige Mehr­wertsteuer) festzu­set­zen und von der Vorinstanz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