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D-6338/2007 vom 31. März 2010</w:t>
      </w:r>
    </w:p>
    <w:p>
      <w:r>
        <w:t>Bundesverwaltungsgericht, 2010-03-31, DE</w:t>
      </w:r>
    </w:p>
    <w:p>
      <w:r>
        <w:rPr>
          <w:b/>
        </w:rPr>
        <w:t xml:space="preserve">Quelle: </w:t>
      </w:r>
      <w:r>
        <w:t>https://mcp.opencaselaw.ch/entscheid/bvger_D-6338_2007</w:t>
      </w:r>
    </w:p>
    <w:p>
      <w:r>
        <w:t>FR: TAF D-6338/2007 du 31 mars 2010</w:t>
      </w:r>
    </w:p>
    <w:p>
      <w:r>
        <w:t>IT: TAF D-6338/2007 del 31 marzo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SR 142.31]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108 Abs. 1 AsylG und Art. 105 AsylG i.V.m. Art. 37 VGG, Art. 48 Abs. 1 und Art. 52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Die Flüchtlingseigenschaft ist nachzuweisen oder zumindest glaubhaft zu machen. Diese ist glaubhaft gemacht, wenn die Behörde ihr Vorhandensein mit überwiegender Wahrscheinlichkeit für gegeben hält (vgl. Art. 7 AsylG).</w:t>
      </w:r>
    </w:p>
    <w:p>
      <w:r>
        <w:rPr>
          <w:b/>
        </w:rPr>
        <w:t>E. 4.1</w:t>
      </w:r>
    </w:p>
    <w:p>
      <w:r>
        <w:t>Der Beschwerdeführer begründet sein zweites Asylgesuch ausschliesslich mit exilpolitischen Aktivitäten. Subjektive Nachfluchtgründe sind gemäss Praxis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w:t>
      </w:r>
    </w:p>
    <w:p>
      <w:r>
        <w:rPr>
          <w:b/>
        </w:rPr>
        <w:t>E. 4.2</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In genereller Hinsicht ist ferner festzuhalten, dass nach konstanter Praxis bei iranischen Asylsuchenden das blosse Einreichen eines Asylgesuches keinen subjektiven Nachfluchtgrund im Sinne von Art. 54 AsylG dar-stellt (vgl.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4.3</w:t>
      </w:r>
    </w:p>
    <w:p>
      <w:r>
        <w:t>Einleitend ist festzuhalten, dass im ersten Asylverfahren über die Asylgründe des Beschwerdeführers nicht materiell befunden wurde, da ein Nichteintretensentscheid wegen Verletzung der Mitwirkungspflicht erging. Aufgrund einer Durchsicht des Protokolls der Summarbefra-gung ist auszuschliessen, dass der Beschwerdeführer eine relevante Vorverfolgung erlitten haben könnte und insoweit bereits bei der Aus-reise als Politaktivist fichiert war. In der Eingabe vom 11. Juli 2006 werden denn auch ausschliesslich subjektive Nachfluchtgründe (und keine Gründe, welche allenfalls unter revisions- respektive wiederer-wägungsrechtlichen Gesichtspunkten zu prüfen gewesen wären) gel-tend gemacht. Hingegen ist sein exilpolitisches Engagement durch die im Sachverhalt erwähnten Beweismittel hinreichend belegt und unbe-stritten. Das Ausmass dieser Tätigkeiten (Mitgliedschaft bei der DVF, Verfassen von Artikeln auf der DVF-homepage, Teilnahme an Kundge-bungen; vgl. dazu Bst. B. vorstehend) hob sich aber vorerst offensicht-lich nicht von demjenigen einer Vielzahl seiner Landsleute ab. Dies umso weniger, als er bei der Kundgebung vom [...] 2006 gemäss dem eingereichten Dokumentationsmaterial entgegen seinen Darlegungen offenbar nicht persönlich Inhaber der Demonstrationsbewilligung war, sondern im Bewilligungsgesuch der DVF lediglich als [...] erwähnt wurde. Im Weiteren erweckten auch seine Darlegungen anlässlich der Anhörung vom 10. Juli 2007, wonach er bei der DVF für [...] Belange zuständig sei, nicht den Eindruck eines herausragenden Engagements. Allerdings ist einzuräumen, dass er bereits damals und auch mit der Eingabe vom 9. Juni 2008 die Teilnahme an zahlreichen Manifestationen belegt hatte und auf den eingereichten, in der Publikation [...] oder im Internet erschienen Fotos teilweise gut zu erkennen ist. Dies allein rechtfertigt aber noch nicht den Schluss, dass er dadurch den gesteigerten Argwohn der iranischen Überwachungskräfte geweckt hätte. In den Folgeeingaben (vgl. dazu insb. Bst. K., L. und N. vorstehend und die dort aufgeführten Beweismittel) konnte er indes glaubhaft machen, seine journalistische Tätigkeit namentlich als [...] der Zeitschrift [...] intensiv auszuüben und als [...] einer Radiosendung sporadisch, aber regelmässig aufzutreten. Auch wenn die Aussenwirkung der besagten einschlägigen Publikation mit seinen teilweise harsch kritisierenden Artikeln nicht überzubewerten ist und die von ihm moderierte Sendung lediglich in einem [...] ausgestrahlt wird, dürften diese Aktivitäten doch zu einem gewissen Bekanntheitsgrad geführt haben. Zusammen mit seinen neuen Funktionen beim DVF (Zuständiger für das deutschsprachige Internet und Pressesprecher für den deutschsprachigen Raum) erscheint sein Engagement mithin als klarerweise überdurchschnittlich. Schliesslich erschienen in der Schweizer Presse zwei mit ihm geführte Interviews, in welchen er sich ebenfalls und deutlich als Gegner des iranischen Regimes zu erkennen gab. Insgesamt weist er somit ein politisches Profil auf, welches den Argwohn der iranischen Sicherheitskräfte im Sinne einer Identifizierung und Fichierung als zwar nicht hochkarätigen, aber durchaus ernst zu nehmenden Regimegegner erweckt haben dürfte. Er vermittelt demnach insgesamt das Bild einer kommunikationsprofilierten Person mit klar definierten Vorstellungen und einem Agitationspotential, welches in den Augen des iranischen Regimes durchaus als gefährlich und systemuntergrabend aufgefasst werden kann. Aus dem Gesagten ergibt sich vor dem Hintergrund der greifbaren Informationen zur Menschenrechtslage im Iran, dass der Beschwerdeführer berechtigterweise be-fürchten muss, bei einer Rückkehr ins Heimatland als Folge seiner Exilaktivitäten strafrechtlich belangt, dabei in Haft genommen und einer flüchtlingsrechtlich relevanten Gefährdung des Leibes, des Lebens und der Freiheit ausgesetzt zu werden. Damit erfüllt der Beschwerdeführer sämtliche kumulativ erforderlichen Kriterien der Flüchtlingseigenschaft im Sinne der Definition von Art. 3 AsylG.</w:t>
      </w:r>
    </w:p>
    <w:p>
      <w:r>
        <w:rPr>
          <w:b/>
        </w:rPr>
        <w:t>E. 4.4</w:t>
      </w:r>
    </w:p>
    <w:p>
      <w:r>
        <w:t>Zusammenfassend ist unter diesen Umständen festzustellen, dass es dem Beschwerdeführer gelungen ist, das Bestehen subjektiver Nachfluchtgründe im Sinne von Art. 54 AsylG überwiegend glaubhaft zu machen, und er damit die Voraussetzungen für die Zuerkennung der Flüchtlingseigenschaft erfüllt. Im Weiteren bestehen gemäss Ak-tenlage keine Ausschlussgründe im Sinne von Art. 1 F des Abkom-mens vom 28. Juli 1951 über die Rechtsstellung der Flüchtlinge (FK, SR 0.142.30).</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Da gemäss Art. 54 AsylG trotz Bestehens der Flüchtlingseigenschaft kein Asyl zu gewähren ist, war vorliegend die Wegweisung anzuordnen. Der Beschwerdeführer verfügt sodann weder über eine ausländerrechtliche Aufenthaltsbewilli-gung noch über einen Anspruch auf Erteilung einer solchen. Die Weg-weisung wurde demnach zu Recht angeordnet und die angefochtene Verfügung insoweit zu bestätigen (Art. 44 Abs. 1 AsylG).</w:t>
      </w:r>
    </w:p>
    <w:p>
      <w:r>
        <w:rPr>
          <w:b/>
        </w:rPr>
        <w:t>E. 5.2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5.4</w:t>
      </w:r>
    </w:p>
    <w:p>
      <w:r>
        <w:t>Aus den vorstehenden Erwägungen ergibt sich, dass der Beschwerdeführer begründete Furcht vor zukünftiger Verfolgung im Sinne von Art. 3 AsylG glaubhaft machen konnte. Der Vollzug der Wegwei-sung in den Iran erweist sich daher wegen drohender Verletzung des flüchtlingsrechtlichen Gebots des Non-Refoulements (Art. 5 AsylG) so-wie auch mit Blick auf Art. 3 EMRK als unzulässig, da davon ausge-gangen werden muss, dass er im Falle seiner Rückkehr in den Iran mit beachtlicher Wahrscheinlichkeit menschenrechtswidriger Behandlung ausgesetzt wäre.</w:t>
      </w:r>
    </w:p>
    <w:p>
      <w:r>
        <w:rPr>
          <w:b/>
        </w:rPr>
        <w:t>E. 6</w:t>
      </w:r>
    </w:p>
    <w:p>
      <w:r>
        <w:t>Es bleibt zu prüfen, ob die angefochtene Verfügung auch insofern auf-zuheben ist, als darin eine Verfahrensgebühr von Fr. 1'200.- erhoben wurde.</w:t>
      </w:r>
    </w:p>
    <w:p>
      <w:r>
        <w:rPr>
          <w:b/>
        </w:rPr>
        <w:t>E. 6.1</w:t>
      </w:r>
    </w:p>
    <w:p>
      <w:r>
        <w:t>Nicht durchzudringen vermag der Beschwerdeführer, indem er vorbringt, er sei bedürftig und das Verfahren sei nicht aussichtslos ge-wesen, weshalb bereits deshalb vom BFM keine Verfahrensgebühr aufzuerlegen gewesen wäre. Der Beschwerdeführer stellte erst im Ver-fahren vor der Rekursinstanz ein Gesuch gemäss Art. 65 Abs. 1 VwVG und brachte eine Bestätigung für seine Bedürftigkeit bei. Demzufolge war das BFM nicht gehalten, auf Verfahrensgebühren zu verzichten (vgl. BVGE 2008/3 E. 2.2 - 2.6).</w:t>
      </w:r>
    </w:p>
    <w:p>
      <w:r>
        <w:rPr>
          <w:b/>
        </w:rPr>
        <w:t>E. 6.2</w:t>
      </w:r>
    </w:p>
    <w:p>
      <w:r>
        <w:t>Aufgrund des vorliegenden Ausgang des Verfahrens - die vorin-stanzliche Verfügung wird antragsgemäss aufgehoben - wäre grund-sätzlich auch die Gebührenerhebung hinfällig, zumal eine solche nur erhoben werden kann, wenn das Wiedererwägungsgesuch oder das zweite Asylgesuch abgelehnt wird. Nachdem jedoch, wie in den Erwä-gungen ausgeführt, die Flüchtlingseigenschaft im Zeitpunkt des vorin-stanzlichen Entscheides noch nicht bestand und erst aufgrund weiterer exilpolitischer Aktivitäten auf Beschwerdeebene festzustellen war, hat die Vorinstanz das zweite Asylgesuch aufgrund der damals bestehen-den Aktenlage zu Recht abgelehnt, weshalb die damalige Auferlegung der Verfahrensgebühren durch die Vorinstanz nicht zu beanstanden ist.</w:t>
      </w:r>
    </w:p>
    <w:p>
      <w:r>
        <w:rPr>
          <w:b/>
        </w:rPr>
        <w:t>E. 7</w:t>
      </w:r>
    </w:p>
    <w:p>
      <w:r>
        <w:t>Die Beschwerde ist betreffend der beantragten Feststellung der Flücht-lingseigenschaft demnach gutzuheissen und das BFM anzuweisen, den Beschwerdeführer gestützt auf Art. 44 Abs. 2 AsylG als Flüchtling vorläufig aufzunehmen. Im Übrigen ist sie abzuweisen.</w:t>
      </w:r>
    </w:p>
    <w:p>
      <w:r>
        <w:rPr>
          <w:b/>
        </w:rPr>
        <w:t>E. 8.1</w:t>
      </w:r>
    </w:p>
    <w:p>
      <w:r>
        <w:t>Bei diesem Ausgang des Verfahrens sind keine Verfahrenskosten aufzuerlegen (Art. 63 Abs. 1 und 2 VwVG).</w:t>
      </w:r>
    </w:p>
    <w:p>
      <w:r>
        <w:rPr>
          <w:b/>
        </w:rPr>
        <w:t>E. 8.2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Eine Kosten-note wurde nicht zu den Akten gereicht, der notwendige Vertretungs-aufwand lässt sich jedoch aufgrund der Aktenlage hinreichend zuver-lässig abschätzen. Diesbezüglich ist insbesondere zu beachten, dass sich die umfangreichen Eingaben nur beschränkt als notwendig erwie-sen haben beziehungsweise sich der Sachverhalt aufgrund der Aktivi-täten des Beschwerdeführers auf Beschwerdeebene wesentlich verän-derte. Die Parteientschädigung ist dementsprechend auf Fr. 1'200.- (inklusive Auslagen und allfällige Mehrwertsteuer) festzusetzen und von der Vorinstanz zu entrichten. Dem BFM ist dabei unbenommen, den Betrag mit der vom Beschwerdeführer geschuldeten Gebühr zu verrechnen, sollte er diese noch nicht bezahlt haben.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