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D-6336/2010 vom 17. Oktober 2011</w:t>
      </w:r>
    </w:p>
    <w:p>
      <w:r>
        <w:t>Bundesverwaltungsgericht, 2011-10-17, DE</w:t>
      </w:r>
    </w:p>
    <w:p>
      <w:r>
        <w:rPr>
          <w:b/>
        </w:rPr>
        <w:t xml:space="preserve">Quelle: </w:t>
      </w:r>
      <w:r>
        <w:t>https://mcp.opencaselaw.ch/entscheid/bvger_D-6336_2010</w:t>
      </w:r>
    </w:p>
    <w:p>
      <w:r>
        <w:t>FR: TAF D-6336/2010 du 17 octobre 2011</w:t>
      </w:r>
    </w:p>
    <w:p>
      <w:r>
        <w:t>IT: TAF D-6336/2010 del 17 ottobre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Unbestrittenermassen ist im Asylverfahren der Sachverhalt grundsätzlich von Amtes wegen festzustellen (Art. 12 VwVG i.V.m. Art. 6 AsylG). Die behördliche Ermittlungspflicht erfährt jedoch insofern eine Einschränkung, als gemäss Art. 13 Abs. 1 Bst. a VwVG Parteien in einem Verfahren, welches sie eingeleitet haben, verpflichtet sind, an der Feststellung des Sachverhalts mitzuwirken. Ein Anspruch auf Mitwirkung ergibt sich auch aus dem Anspruch auf rechtliches Gehör (Art. 29 Abs. 2 der Bundesverfassung der Schweizerischen Eidgenossenschaft vom 18. April 1999 (BV, SR 101).</w:t>
      </w:r>
    </w:p>
    <w:p>
      <w:r>
        <w:rPr>
          <w:b/>
        </w:rPr>
        <w:t>E. 3.2</w:t>
      </w:r>
    </w:p>
    <w:p>
      <w:r>
        <w:t>Mit Zwischenverfügung vom 5. Juli 2011 wurde der Beschwerdeführer unter Hinweis auf die Säumnisfolge aufgefordert, die mit Replik vom 8. Oktober 2010 eingereichten fremdsprachigen Beweismittel bis zum 12. Juli 2011 in eine Amtssprache übersetzen zu lassen. Mit Zwischenverfügung vom 12. Juli 2011 wurde das Gesuch des Beschwerdeführers vom 7. Juli 2011 um die Gewährung einer Fristerstreckung gutgeheissen und die Frist bis zum 2. August 2011 erstreckt. Der Beschwerdeführer hat jedoch darauf verzichtet, die einverlangte Übersetzung fristgerecht einzureichen, weshalb androhungsgemäss gestützt auf die Aktenlage entschieden wird.</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Weder die Vorbringen in der Rechtsmitteleingabe vom 6. September 2010 noch diejenigen in der Replik vom 8. Oktober 2010 sind geeignet, eine Änderung der vorinstanzlichen Verfügung zu bewirken. Der Argumentation der Vorinstanz werden keine stichhaltigen und substanziierten Gründe entgegengesetzt. Eine diesbezügliche Auseinandersetzung unterbleibt zwar nicht gänzlich. Die Ausführungen des Beschwerdeführers vermögen jedoch die nachvollziehbaren Erwägungen des BFM nicht umzustossen. Das BFM hat in der angefochtenen Verfügung unter anderem zu Recht festgestellt, dass die Vorbringen des Beschwerdeführers teils (krass) widersprüchlich, teils zu wenig detailliert, beziehungsweise zu wenig konkret gewesen seien. Der vom Beschwerdeführer erhobene Vorwand, die Demokratische Vereinigung der Jugend des iranischen Kurdistans und die KDPI seien identisch und das BFM habe zu Unrecht zwischen den beiden Organisationen unterschieden vermag daran nichts zu ändern, weil die Vorbringen des Beschwerdeführers sich nach dem Folgenden als unzutreffend erweisen.</w:t>
      </w:r>
    </w:p>
    <w:p>
      <w:r>
        <w:rPr>
          <w:b/>
        </w:rPr>
        <w:t>E. 5.2</w:t>
      </w:r>
    </w:p>
    <w:p>
      <w:r>
        <w:t>Die KDPI wurde ihren eigenen Angaben zufolge am 16. August 1945 gegründet. Sie ersetzte den Rat der Kurdischen Wiedergeburt, welcher drei Jahre vorher gegründet wurde. Zu Beginn des Jahres 1946 wurde für kurze Zeit eine unabhängige Republik Kurdistan ins Leben gerufen, die sogenannte Republik von Mahabad, mit Mahabad als Hauptstadt, die jedoch nur elf Monate existierte und danach wieder in den Iran eingegliedert wurde. In der Folge wurden viele führende Mitglieder der Partei verhaftet. Ende der 1960er Jahre kam es zu einem grösseren, bewaffneten Aufstand, welcher fast zwei Jahre dauerte, aber vom Schah-Regime niedergeschlagen wurde. Mitglieder der Partei, welche ins Ausland geflohen waren, trugen Ende der 1970er Jahre dazu bei, dass das Schah-Regime gestürzt werden konnte. Die neue Islamische Republik Iran duldete jedoch trotz der vorherigen Unterstützung durch die KDPI, keinen kurdischen Sonderweg und ging deswegen massiv gegen jegliche politische Autonomie vor. Es kam auch zu von der Regierung angestifteten Tötungen von Parteifunktionären der KDPI im Exil (unter anderem in Österreich und in Deutschland). Die KDPI hat konsultativen Status in der Sozialistischen Internationalen und tritt heute explizit für eine friedliche Lösung des Kurdenkonflikts im Iran ein (vgl. http://www.pdki.org/articles1-25-8.htm, aufgerufen am 15. September 2011). Demgegenüber ist die Demokratische Vereinigung des iranischen Kurdistans (Yekitî Dêmokratî Kurdistan-Iran) eher unbedeutend und scheint, wenn überhaupt, nicht sehr aktiv zu sein. Darauf lassen zumindest die äusserst geringen Hinweise auf die Partei im Internet schliessen. In Berichten internationaler Organisationen wird die Partei überhaupt nicht erwähnt. Zudem sind Links, die den Namen der Partei beinhalten, nicht mehr gültig (vgl. www.YDKInet.tk, http://www.ydki.org/) oder weisen auf bereits jahrelang verlassene Websites hin (vgl. http://www.oocities.org/ydki1370peywendi.htm), deren letzte Aktivität mehrere Jahre zurückliegt. Auch allfällige E-Mail-Adressen (Yeketi1370@yahoo.com, yeketidemokratekan@yahoo.com ) sind nicht mehr gültig. Daher gibt es nur indirekte Hinweise auf diese Partei, woraus sich mit ziemlicher Sicherheit schliessen lässt, dass es sich dabei um eine eigenständige Partei handelt, und nicht um eine Untergruppe/Sektion oder andere Bezeichnung der KDPI.</w:t>
      </w:r>
    </w:p>
    <w:p>
      <w:r>
        <w:rPr>
          <w:b/>
        </w:rPr>
        <w:t>E. 5.3</w:t>
      </w:r>
    </w:p>
    <w:p>
      <w:r>
        <w:t>Bei dieser Sachlage erübrigt es sich, auf die weiteren Ausführungen und Anträge in der Beschwerde im Einzelnen einzugehen, da diese nicht geeignet sind, zu einer anderen rechtlichen Würdigung der Aktenlage zu führen. Unter diesen Umständen ist somit festzuhalten, dass der Beschwerdeführer einen flüchtlingsrechtlich bedeutsamen Sachverhalt weder nachgewiesen noch glaubhaft gemacht hat. Die Feststellung des BFM, der Beschwerdeführer erfülle die Flüchtlingseigenschaft nicht, ist dementsprechend zu bestätigen. Das BFM hat das Asylgesuch zu Recht und mit zutreffenden Begründung abgelehnt.</w:t>
      </w:r>
    </w:p>
    <w:p>
      <w:r>
        <w:rPr>
          <w:b/>
        </w:rPr>
        <w:t>E. 5.4</w:t>
      </w:r>
    </w:p>
    <w:p>
      <w:r>
        <w:t>Im Folgenden hat das Bundesverwaltungsgericht zu prüfen, ob der Beschwerdeführer aufgrund seines geltend gemachten exilpolitischen Engagements in der Schweiz zukünftige Verfolgung durch die iranischen Behörden zu befürchten hat und demnach die Flüchtlingseigenschaft wegen subjektiver Nachfluchtgründe erfüllt.</w:t>
      </w:r>
    </w:p>
    <w:p>
      <w:r>
        <w:rPr>
          <w:b/>
        </w:rPr>
        <w:t>E. 5.4.1</w:t>
      </w:r>
    </w:p>
    <w:p>
      <w:r>
        <w:t>Subjektive Nachfluchtgründe sind dann anzunehmen, wenn eine asylsuchende Person erst durch ihre Ausreise aus dem Heimat- oder Herkunftsstaat oder wegen ihres Verhaltens nach der Ausreise eine Verfolgung im Sinne von Art. 3 AsylG zu befürchten hat. Personen mit subjektiven Nachfluchtgründen erhalten zwar gemäss Art. 54 AsylG kein Asyl, werden jedoch als Flüchtlinge vorläufig aufgenommen (vgl. BVGE 2009/28 E. 7.1, BVGE 2009/29 E. 5.1).</w:t>
      </w:r>
    </w:p>
    <w:p>
      <w:r>
        <w:rPr>
          <w:b/>
        </w:rPr>
        <w:t>E. 5.4.2</w:t>
      </w:r>
    </w:p>
    <w:p>
      <w:r>
        <w:t>Es ist allgemein bekannt und unbestritten, dass die iranischen Behörden die politischen Aktivitäten ihrer Staatsangehörigen im Ausland überwachen und systematisch erfassen. Durch Einsatz moderner Software dürfte es den iranischen Behörden auch ohne Weiteres möglich sein, die im Internet vorhandenen riesigen Datenmengen ohne allzu grossen Aufwand gezielt und umfassend zu überwachen und gegebenenfalls nach Stichworten zu durchsuchen. Demzufolge bleibt im Einzelfall zu prüfen, ob die in der Schweiz entwickelten exilpolitischen Aktivitäten bei einer allfälligen Ausschaffung in den Iran mit überwiegender Wahrscheinlichkeit ernsthafte Nachteile im asylrechtlichen Sinne nach sich ziehen würden. Es ist dabei davon auszugehen, dass sich die iranischen Geheimdienste auf die Erfassung von Personen konzentrieren, die über die massentypischen und niedrigprofilierten Erscheinungsformen exilpolitischer Proteste hinaus Funktionen wahrgenommen und/oder Aktivitäten entwickelt haben, welche die jeweilige Person aus der Masse der mit dem Regime Unzufriedenen herausheben und als ernsthaften und gefährlichen Regimegegner erscheinen lassen. Somit sind für die Einschätzung einer Verfolgungsgefahr nicht die Mitgliedschaft in einer exilpolitischen Organisation, die Teilnahme an regimekritischen Demonstrationen und das hierbei übliche Tragen von Plakaten und Rufen von Parolen, sondern Positionen (z.B. Vorsitzende/r einer Exilgruppe), Form und Einfluss von Aktionen (z.B. gewaltsamer Protest) von Bedeutung (vgl. BVGE 2009/28 E. 7.4.3). Dabei ist nicht Individualisierbarkeit, sondern eine derartige Exponierung in der Öffentlichkeit massgebend, die den Eindruck erweckt, dass der Asylsuchende zu einer Gefahr für den Bestand des Mullah-Regimes wird. Dass die iranischen Sicherheitsbehörden zwischen tatsächlich politisch engagierten Regimekritikern und Exilaktivisten, die mit ihren Aktionen in erster Linie die Chancen auf ein Aufenthaltsrecht zu erhöhen versuchen, zu unterscheiden vermögen, darf vorausgesetzt werden (vgl. BVGE 2009/28 E. 7.4.3).</w:t>
      </w:r>
    </w:p>
    <w:p>
      <w:r>
        <w:rPr>
          <w:b/>
        </w:rPr>
        <w:t>E. 5.4.3</w:t>
      </w:r>
    </w:p>
    <w:p>
      <w:r>
        <w:t>Vorweg ist festzuhalten, dass es dem Beschwerdeführer weder gelang, eine Vorverfolgung noch ein bereits im Iran beziehungsweise im Irak bestehendes regimekritisches Engagement glaubhaft zu machen. Somit ist nicht davon auszugehen, dass er schon vor der Ausreise die Aufmerksamkeit der iranischen Behörden in relevantem Ausmass auf sich gezogen hat. Vor diesem Hintergrund rechtfertigt sich der Schluss, dass er vor seiner Einreise in die Schweiz durch die iranischen Behörden jedenfalls nicht als staatsgefährdender Politaktivist fichiert war.</w:t>
      </w:r>
    </w:p>
    <w:p>
      <w:r>
        <w:rPr>
          <w:b/>
        </w:rPr>
        <w:t>E. 5.5</w:t>
      </w:r>
    </w:p>
    <w:p>
      <w:r>
        <w:t>Es bleibt somit zu prüfen, ob der Beschwerdeführer aufgrund seines Engagements als Verfasser von Artikeln auf seiner Homepage (...) eine asylrelevante Verfolgung zu befürchten hat. Davon ist indessen selbst dann nicht auszugehen, wenn die Beiträge den Verfasser mit Vor- und Nachnamen nennen, zumal sich aus diesen Angaben nicht mit Sicherheit auf die Identität des Beschwerdeführers schliessen lässt: Allein aufgrund der Kombination des Vor- und Nachnamens ist die Identität nämlich nicht einwandfrei erwiesen (vgl. bereits Urteil des Bundesverwaltungsgerichts D-4600/2006 vom 24. August 2007, E. 4.3.3). Auch bei der markierten Fotografie steht nicht zweifelsfrei fest, ob es sich dabei um den Beschwerdeführer handelt. Im Übrigen existieren beide Links nicht mehr. Darüber hinaus hat der Beschwerdeführer trotz entsprechender Aufforderung darauf verzichtet, die von ihm eingereichten Beweismittel in eine Amtssprache des Bundes übersetzen zu lassen, weshalb sich an dieser Stelle weitere Ausführungen erübrigen (vgl. die vorstehende Erwägung 3.2. in fine). Deshalb kann auch darauf verzichtet werden, näher auf das geltend gemachte Engagement als Verfasser der Ausgaben 4-9 eines vierteljährlich erscheinenden Studentenmagazins einzugehen.</w:t>
      </w:r>
    </w:p>
    <w:p>
      <w:r>
        <w:rPr>
          <w:b/>
        </w:rPr>
        <w:t>E. 5.6</w:t>
      </w:r>
    </w:p>
    <w:p>
      <w:r>
        <w:t>Im Ergebnis ist demnach festzustellen, dass die geltend gemachten subjektiven Nachfluchtgründe offensichtlich nicht geeignet sind, eine flüchtlingsrechtlich relevante Verfolgungsfurcht zu begründen, weshalb der Beschwerdeführer nicht als Flüchtling im Sinne von Art. 3 AsylG anerkannt werden kann.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BVGE 2009/50 E. 9).</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nicht als unzulässig erscheinen. Nach dem Gesagten ist der Vollzug der Wegweisung sowohl im Sinne der asyl- als auch der völkerrechtlichen Bestimmungen zulässig. 7.4.1.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Angesichts der Lage im Iran kann nicht von einer Situation allgemeiner Gewalt oder von kriegerischen oder bürgerkriegsähnlichen Verhältnissen gesprochen werden, welche für den Beschwerdeführer bei einer Rückkehr eine konkrete Gefährdung darstellen würde (vgl. die im Wesentlichen nach wie vor zutreffende Lagebeurteilung im Urteil des Bundesverwaltungsgerichts BVGE 2009/28 vom 9. Juli 2009) Der noch junge Beschwerdeführer verfügt über eine sehr gute Schulbildung, er hat die Schule bis zu Maturität abgeschlossen und hat grundsätzlich ein soziales Netz vor Ort. Seinen eigenen Angaben zufolge entstammt er einer finanziell gutgestellten Familie. Es sollte ihm somit möglich sein, auch in Berücksichtigung der langen Landesabwesenheit, im Iran wieder eine Existenz aufbauen zu können. Gestützt auf die vorstehenden Erwägungen ist der Vollzug der Wegweisung vor dem Hintergrund der allgemeinen Lage im Iran als auch in individueller Hinsicht als zumutbar zu erachten. 7.4.2. Mangels eines entsprechenden Aufenthaltsrechts ist der Vollzug der Wegweisung in den Irak als unmöglich zu bezeichnen.</w:t>
      </w:r>
    </w:p>
    <w:p>
      <w:r>
        <w:rPr>
          <w:b/>
        </w:rPr>
        <w:t>E. 7.5</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dorthin auch als möglich zu bezeichnen ist (Art. 83 Abs. 2 AuG).</w:t>
      </w:r>
    </w:p>
    <w:p>
      <w:r>
        <w:rPr>
          <w:b/>
        </w:rPr>
        <w:t>E. 7.6</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Mit Zwischenverfügung vom 10. September 2010 wurde unter anderem das Gesuch um Gewährung der unentgeltlichen Rechtspflege im Sinne von Art. 65 Abs. 1 VwVG gutgeheissen. Folglich ist auf die Auferlegung von Verfahrenskosten zu verzichten. Ausgangsgemäss wird keine Parteientschädigung ausgerichtet.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