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D-6330/2006 vom 9. Juli 2009</w:t>
      </w:r>
    </w:p>
    <w:p>
      <w:r>
        <w:t>Bundesverwaltungsgericht, 2009-07-09, FR</w:t>
      </w:r>
    </w:p>
    <w:p>
      <w:r>
        <w:rPr>
          <w:b/>
        </w:rPr>
        <w:t xml:space="preserve">Quelle: </w:t>
      </w:r>
      <w:r>
        <w:t>https://mcp.opencaselaw.ch/entscheid/bvger_D-6330_2006</w:t>
      </w:r>
    </w:p>
    <w:p>
      <w:r>
        <w:t>FR: TAF D-6330/2006 du 9 juillet 2009</w:t>
      </w:r>
    </w:p>
    <w:p>
      <w:r>
        <w:t>IT: TAF D-6330/2006 del 9 luglio 2009</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et son fils ont qualité pour recourir (art. 48 PA) et leur recours, respectant les exigences légales en la matière (art. 50 PA dans sa version introduite le 1er juin 1973, en vigueur jusqu'au 31 décembre 2006, et art. 52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w:t>
      </w:r>
    </w:p>
    <w:p>
      <w:r>
        <w:rPr>
          <w:b/>
        </w:rPr>
        <w:t>E. 4</w:t>
      </w:r>
    </w:p>
    <w:p>
      <w:r>
        <w:t>En l'occurrence, la requête du 17 novembre 2003 sur laquelle l'ODM s'est prononcé le 19 suivant porte essentiellement sur le caractère raisonnablement exigible du renvoi de l'intéressée et de son fils, compte tenu principalement de l'aggravation de l'état de santé de cette dernière. Dans le cadre de la présente procédure, le Tribunal doit examiner si l'évolution de la situation médicale de l'intéressée intervenue après le 19 juillet 2002 (date de la décision sur recours) constitue un fait déterminant de nature à remettre en cause l'appréciation antérieure en matière d'exigibilité du renvoi.</w:t>
      </w:r>
    </w:p>
    <w:p>
      <w:r>
        <w:rPr>
          <w:b/>
        </w:rPr>
        <w:t>E. 5.1</w:t>
      </w:r>
    </w:p>
    <w:p>
      <w:r>
        <w:t>De façon générale, 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de la loi fédérale du 16 décembre 2005 sur les étrangers (LEtr, RS 142.20),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5.2</w:t>
      </w:r>
    </w:p>
    <w:p>
      <w:r>
        <w:t>En l'espèce, au vu des rapports médicaux postérieurs au 19 juillet 2002, le Tribunal constate tout d'abord qu'un grand nombre de problèmes psychiques et physiques ont déjà été examinés au cours de la première procédure de réexamen. Quant aux problèmes (principalement psychiques) actuels et nouveaux, ils ne sont pas de nature à la mettre concrètement en danger en cas de retour dans son pays. Certes, ils ne doivent pas être minimisés. Il n'appert toutefois pas qu'ils requièrent un traitement particulièrement lourd ou spécialisé qui ne pourrait pas être poursuivi en Serbie. Le Tribunal relève que l'intéressée n'a plus dû être hospitalisée depuis (...) et que son état s'est quelque peu amélioré, même si elle présente toujours une anxiété importante, se manifestant par des crises d'angoisse régulières, et un état dépressif. Son traitement actuel reste ambulatoire. Selon les dernières informations, elle consulte toutes les quatre à six semaines son médecin et tous les deux mois un psychothérapeute ; elle suit en outre un traitement médicamenteux préparé chaque semaine par des infirmières du centre médico-social. Le suivi médical et le traitement médicamenteux sont nécessaires à long terme, ce qui ne signifie toutefois pas encore qu'il doive impérativement se poursuivre en Suisse malgré les risques relevés par les thérapeutes d'une décompensation en cas de décision négative de la part des autorités suisses.</w:t>
      </w:r>
    </w:p>
    <w:p>
      <w:r>
        <w:rPr>
          <w:b/>
        </w:rPr>
        <w:t>E. 5.3</w:t>
      </w:r>
    </w:p>
    <w:p>
      <w:r>
        <w:t>L'intéressée est venue en Suisse en 1998 et ne faisait pas valoir, à l'époque, de problèmes de nature psychique. Elle n'a commencé à consulter de manière régulière qu'à partir de 2003, soit au moment où elle a vu sa demande d'asile refusée. En (...), elle a été hospitalisée au moment où son renvoi devait être effectivement exécuté. Or il y a lieu de rappeler que la péjoration d'un état de santé psychique en raison d'un stress lié à la perspective - plus ou moins imminente - d'un renvoi, comme ce fut le cas en l'esèce, constitue une réaction couramment observée chez des personnes dont la demande de protection a été rejetée, sans qu'il faille pour autant y voir forcément un obstacle sérieux à l'exécution du renvoi.</w:t>
      </w:r>
    </w:p>
    <w:p>
      <w:r>
        <w:rPr>
          <w:b/>
        </w:rPr>
        <w:t>E. 5.4</w:t>
      </w:r>
    </w:p>
    <w:p>
      <w:r>
        <w:t>In casu, la Serbie, à tout le moins les grands centres urbains du pays, dispose de structures médicales adéquates permettant le traitement et le suivi que requiert l'état de santé de l'intéressée, même si celles-ci n'atteignent manifestement pas les standards élevés suisses. Les médicaments nécessaires sont disponibles sur place. Il est vrai que la question de l'accès aux structures de santé peut se révéler plus problématique, compte tenu notamment des moyens économiques à disposition du patient (cf. World Bank, Poverty, social exclusion and ethnicity in Serbia and Montenegro : the case of Roma, octobre 2005, Country of return information project, Country sheet Serbia, août 2007). L'autorité intimée peut toutefois offrir une aide au retour, afin de faciliter dans une première phase la réinstallation de la recourante. Il est vrai qu'au vu des problèmes de santé de l'intéressée, il paraît peu réaliste de penser qu'elle pourra elle-même assumer le financement des soins dont elle a besoin. En revanche, elle pourra compter sur place sur un important réseau familial et social parfaitement à même de la soutenir financièrement et affectivement (notamment ses deux fils et sa fille tous majeurs). Quant au fils cadet, il lui apporte déjà, selon ses dires, un soutien actif en Suisse, de sorte qu'il pourra cas échéant à moyen terme lui venir efficacement en aide. La recourante devrait aussi pouvoir compter sur le soutien de ses thérapeutes pour préparer psychologiquement son départ.</w:t>
      </w:r>
    </w:p>
    <w:p>
      <w:r>
        <w:rPr>
          <w:b/>
        </w:rPr>
        <w:t>E. 5.5</w:t>
      </w:r>
    </w:p>
    <w:p>
      <w:r>
        <w:t>Quant au fils de l'intéressée, il a fait valoir la durée de son séjour en Suisse, son intégration et le fait qu'un retour dans son pays d'origine constituerait pour lui un profond déracinement, compte tenu de l'absence de réseau familial ou social. A ce sujet, force est de relever que les éléments d'intégration ne sont pas en tant que tels déterminants dans le cadre de la présente procédure de réexamen. Ils ressortissent aux autorités compétentes en matière de police des étrangers qui se penchent sur l'existence ou non d'un cas de détresse personnelle grave. Au demeurant, à ce sujet, le Tribunal se permet de douter de la bonne intégration du recourant en Suisse au vu des multiples démêlés qu'il a eus avec la police et la justice (cf. notamment le jugement du (...) du E._______ qui retient en particulier au consid. 7.1 "l'évident défaut d'intégration de l'accusé" ; compte tenu des rapports de police et des pièces judiciaires au dossier postérieures à cette condamnation, on ne saurait retenir qu'il s'est fondamentalement amendé depuis). Par ailleurs, il est jeune, majeur et en bonne santé. Il pourra également, contrairement à ce qu'il a allégué, compter sur des membres de sa parenté dans son pays d'origine, en particulier sur (...) avec lequel il est resté en étroite relation, pour des raisons d'ordre commercial notamment.</w:t>
      </w:r>
    </w:p>
    <w:p>
      <w:r>
        <w:rPr>
          <w:b/>
        </w:rPr>
        <w:t>E. 6</w:t>
      </w:r>
    </w:p>
    <w:p>
      <w:r>
        <w:t>Il s'ensuit que le recours du 19 novembre 2003 doit être rejeté et la décision de l'ODM en ce qui concerne l'intéressée et son fils, confirmée.</w:t>
      </w:r>
    </w:p>
    <w:p>
      <w:r>
        <w:rPr>
          <w:b/>
        </w:rPr>
        <w:t>E. 7.1</w:t>
      </w:r>
    </w:p>
    <w:p>
      <w:r>
        <w:t>Le présent arrêt rend sans objet la demande d'exemption du paiement d'une avance de frais.</w:t>
      </w:r>
    </w:p>
    <w:p>
      <w:r>
        <w:rPr>
          <w:b/>
        </w:rPr>
        <w:t>E. 7.2</w:t>
      </w:r>
    </w:p>
    <w:p>
      <w:r>
        <w:t>Au vu l'issue de la cause, il y aurait lieu de mettre les frais de procédure à la charge de la recourante et de son fils, conformément aux art. 63 al. 1 4bis et 5 PA et aux art. 1, 2 et 3 let. b du règlement du 21 février 2008 concernant les frais, dépens et indemnités fixés par le Tribunal administratif fédéral (FITAF, RS 173.320.2). Compte tenu toutefois des circonstances particulières de la cause, le présent arrêt est rendu à titre exceptionnel sans frais (art. 63 al. 1 i.f. PA),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