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D-632/2015 vom 12. Februar 2015</w:t>
      </w:r>
    </w:p>
    <w:p>
      <w:r>
        <w:t>Bundesverwaltungsgericht, 2015-02-12, DE</w:t>
      </w:r>
    </w:p>
    <w:p>
      <w:r>
        <w:rPr>
          <w:b/>
        </w:rPr>
        <w:t xml:space="preserve">Quelle: </w:t>
      </w:r>
      <w:r>
        <w:t>https://mcp.opencaselaw.ch/entscheid/bvger_D-632_2015</w:t>
      </w:r>
    </w:p>
    <w:p>
      <w:r>
        <w:t>FR: TAF D-632/2015 du 12 février 2015</w:t>
      </w:r>
    </w:p>
    <w:p>
      <w:r>
        <w:t>IT: TAF D-632/2015 del 12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genaue Datum der Eröffnung der BFM-Verfügung vom 14. November 2014 ist nicht bekannt. Aus den Akten ergibt sich lediglich, dass das BFM die angefochtene Verfügung zwecks Zustellung an den Beschwerdeführer gleichentags der Schweizerischen Vertretung in Colombo übermittelte. Angesichts des Umstandes, dass die Übermittlung nach Sri Lanka erfahrungsgemäss mindestens eine Woche in Anspruch nimmt und für die Behandlung auf der Schweizerischen Vertretung sowie die Zustellung an den Beschwerdeführer jeweils wiederum mit rund 7-10 Tagen zu rechnen ist, kann davon ausgegangen werden, dass die BFM-Verfügung dem Beschwerdeführer nicht vor Mitte Dezember 2014 zugestellt wurde. Es ist daher - mangels gegenteiliger Anhaltspunkte und im Sinne einer effizienten Abwicklung des Beschwerdeverfahrens (die Tätigung weiterer Abklärungen betreffend Zustelldatum wäre mit erheblichem zeitlichem Aufwand verbunden) - zugunsten des Beschwerdeführers davon auszugehen, dass die am 13. Januar 2015 bei der Schweizerischen Vertretung eingegangene Beschwerde rechtzeitig eingereicht wurde.</w:t>
      </w:r>
    </w:p>
    <w:p>
      <w:r>
        <w:rPr>
          <w:b/>
        </w:rPr>
        <w:t>E. 2.2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SEM (zuvor: BFM)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es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SEM hat den allfälligen Verzicht auf eine Befragung im Ausland in der Verfügung zu begründen (vgl. BVGE 2007/30 E. 5.8 [S. 368]). Vorliegend wurde der Beschwerdeführer am 26. Juni 2014 auf der Schweizerischen Botschaft in Colombo persönlich befragt. Anlässlich dieser Befragung hatte er Gelegenheit, weitere Angaben zu seiner Verfolgungssituation zu machen.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5.3</w:t>
      </w:r>
    </w:p>
    <w:p>
      <w:r>
        <w:t>Wie die Vorinstanz in ihrer angefochtenen Verfügung vom 14. November 2014 vorab zutreffend festhielt, ist gemäss schweizerischer Asylpraxis für die Gewährung der Einreise die Gefährdung einer asylsuchenden Person im Zeitpunkt der Einreisebewilligung massgebend. Vergangene Verfolgung ist somit nur dann beachtlich, als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5.3.1</w:t>
      </w:r>
    </w:p>
    <w:p>
      <w:r>
        <w:t>Der Beschwerdeführer machte zur Begründung seines Gesuchs um Bewilligung der Einreise und um Gewährung des Asyls geltend, er sei während vieler Jahre von den LTTE gezwungen worden, für sie zu arbeiten. Deswegen sei er im Januar 2012 und im Januar 2014 zweimal vom CID verhört worden. Überdies sei er von unbekannten Männern, vermutlich Leuten der Karuna-Gruppe, bedroht worden.</w:t>
      </w:r>
    </w:p>
    <w:p>
      <w:r>
        <w:rPr>
          <w:b/>
        </w:rPr>
        <w:t>E. 5.3.2</w:t>
      </w:r>
    </w:p>
    <w:p>
      <w:r>
        <w:t>Das BFM stellte den Wahrheitsgehalt der vom Beschwerdeführer geschilderten Vorfälle grundsätzlich nicht in Frage, wies jedoch gleichzeitig darauf hin, die Anforderungen an eine Einreisebewilligung seien hoch; gemäss ständiger Praxis der schweizerischen Asylbehörden könne eine solche Bewilligung nur erteilt werden, wenn mit überwiegender Wahrscheinlichkeit von einer akuten Gefährdung der gesuchstellenden Person bei einem weiteren Verbleib im Ausland ausgegangen werden müsse. Vorliegend gelange es zum Schluss, dass der Beschwerdeführer - bei einer objektivierten Betrachtungsweise - nicht akut gefährdet sei, weshalb den von ihm geltend gemachten Vorkommnissen keine einreiserelevante Bedeutung zukommen könne. In Bezug auf die vom Beschwerdeführer geschilderten Probleme mit den LTTE befand das BFM, diese seien im heutigen Zeitpunkt nicht mehr asylrelevant. Es lägen auch keine hinreichenden Anhaltspunkte vor, dass der Beschwerdeführer in absehbarer Zukunft staatlichen Verfolgungsmassnahmen ausgesetzt sein könnte. Lediglich aus dem Umstand, dass er zweimal vom CID befragt worden sei, könne nicht abgeleitet werden, dass er zum heutigen Zeitpunkt von asylrelevanter Verfolgung bedroht sei. Zwar könne nicht ausgeschlossen werden, dass die Sicherheitskräfte sich wegen seines Aufenthalts im Vanni-Gebiet nach ihm erkundigt und ihn beobachtet hätten. Derartigen Massnahmen, die im Zusammenhang mit der allgemeinen Bekämpfung des Terrorismus der LTTE durch die sri-lankischen Behörden zu sehen seien, komme indessen aufgrund mangelnder Intensität kein Verfolgungscharakter zu. Wären die sri-lankischen Behörden überzeugt gewesen, dass der Beschwerdeführer in irgendeiner Weise eine Gefahr für die Sicherheit des sri-lankischen Staats darstellen würde, wäre er nicht bloss aufgesucht und befragt, sondern inhaftiert worden, werde doch gemäss Erkenntnissen des Bundesamtes in Sri Lanka gegen Personen, die ernsthaft in Verdacht stünden, die LTTE zu unterstützen beziehungsweise unterstützt zu haben, konsequent vorgegangen. Schliesslich genüge allein die subjektive Angst vor einer allfällig künftigen Bedrohung nicht, um auf das Vorliegen einer begründeten Furcht vor künftiger Verfolgung zu schliessen. Diesen Ausführungen kann sich das Bundesverwaltungsgericht anschliessen, zumal die knappen Darlegungen des Beschwerdeführers in seiner Eingabe vom 5. Januar 2015 (Eingang bei der Schweizerischen Vertretung) nicht geeignet sind, zu einer anderen Beurteilung der Befragungen durch die sri-lankischen Behörden beziehungsweise durch den CID zu führen.</w:t>
      </w:r>
    </w:p>
    <w:p>
      <w:r>
        <w:rPr>
          <w:b/>
        </w:rPr>
        <w:t>E. 5.3.3</w:t>
      </w:r>
    </w:p>
    <w:p>
      <w:r>
        <w:t>Sodann kann auch der Auffassung der Vorinstanz gefolgt werden, bei den geltend gemachten Übergriffen durch Unbekannte, vermutlich durch Angehörige der Karuna-Gruppe, handle es sich um Übergriffe Dritter. Das BFM wies dabei zutreffend darauf hin, der Einfluss der bewaffneten Gruppierungen in Sri Lanka habe seit Ende der Kriegshandlungen im Mai 2009 stark abgenommen. Es bestünden keine Hinweise mehr auf eine allgemeine Unterstützung bewaffneter Gruppierungen durch die sri-lankische Armee oder den Staat. Es komme zwar vor, dass sich frühere Angehörige solcher Gruppierungen weiterhin kriminell betätigten und die lokale Bevölkerung mit Drohungen und Erpressungsversuchen unter Druck setzten, wobei auch nicht völlig ausgeschlossen werden könne, dass einzelne Angehörige der sri-lankischen Sicherheitskräfte an solchen Vorkommnissen beteiligt seien. Unabhängig davon handle es sich bei den besagten Übergriffen um Nachteile, die sich aus lokal oder regional beschränkten Verfolgungsmassnahmen ableiteten und denen sich der Beschwerdeführer durch Wegzug in einen anderen Teil seines Heimatlandes entziehen könne. Nach dem Gesagten gelangte die Vorinstanz zu Recht zum Schluss, der Beschwerdeführer sei nicht auf den Schutz der Schweiz angewiesen.</w:t>
      </w:r>
    </w:p>
    <w:p>
      <w:r>
        <w:rPr>
          <w:b/>
        </w:rPr>
        <w:t>E. 5.3.4</w:t>
      </w:r>
    </w:p>
    <w:p>
      <w:r>
        <w:t>Schliesslich wies das BFM zutreffend darauf hin, die sri-lankischen Behörden hätten dem Beschwerdeführer im Oktober 2013 einen neuen Reisepass ausgestellt (vgl. Vorakten A11 S. 2 Mitte), was gegen ein allfälliges Verfolgungsinteresse spreche.</w:t>
      </w:r>
    </w:p>
    <w:p>
      <w:r>
        <w:rPr>
          <w:b/>
        </w:rPr>
        <w:t>E. 5.4</w:t>
      </w:r>
    </w:p>
    <w:p>
      <w:r>
        <w:t>Zusammenfassend ergibt sich, dass vorliegend - entgegen der von ihm auch in der Rechtsmitteleingabe vertretenen Auffassung - keine konkreten Hinweise dafür bestehen, der Beschwerdeführer sei gegenwärtig einer konkreten Gefährdung ausgesetzt oder habe eine unmittelbar drohende Gefährdung akut zu befürchten.</w:t>
      </w:r>
    </w:p>
    <w:p>
      <w:r>
        <w:rPr>
          <w:b/>
        </w:rPr>
        <w:t>E. 5.5</w:t>
      </w:r>
    </w:p>
    <w:p>
      <w:r>
        <w:t>Im Übrigen ist festzustellen, dass keine nahen Verwandten oder Bekannten des Beschwerdeführers in der Schweiz leben und den Akten auch sonst keine Hinweise auf Anknüpfungspunkte zur Schweiz zu entnehmen sind.</w:t>
      </w:r>
    </w:p>
    <w:p>
      <w:r>
        <w:rPr>
          <w:b/>
        </w:rPr>
        <w:t>E. 5.6</w:t>
      </w:r>
    </w:p>
    <w:p>
      <w:r>
        <w:t>Der Beschwerdeführer vermochte insgesamt nicht aufzuzeigen, dass er auf die Schutzgewährung durch die Schweiz angewiesen ist beziehungsweise ihm gerade die Schweiz den erforderlichen Schutz gewähren muss. Der weitere Verbleib in Sri Lanka ist ihm nach dem Gesagten zuzumuten und die Vorinstanz hat ihm zu Recht die Einreise in die Schweiz verweigert und das Asylgesuch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dem Beschwerdeführer aufzuerlegen (Art. 63 Abs. 1 und 5 VwVG). Aus verwaltungsökonomischen Gründen und in Anwendung von Art. 63 Abs. 1 in fine VwVG und Art. 2 und 3 Bst. b des Reglements vom 21. Februar 2008 über die Kosten und Entschädigungen vor dem Bundesverwaltungsgericht (VGKE, SR 173.320.2) in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