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D-6329/2024 vom 26. September 2024</w:t>
      </w:r>
    </w:p>
    <w:p>
      <w:r>
        <w:t>Bundesverwaltungsgericht, 2024-09-26, DE</w:t>
      </w:r>
    </w:p>
    <w:p>
      <w:r>
        <w:rPr>
          <w:b/>
        </w:rPr>
        <w:t xml:space="preserve">Quelle: </w:t>
      </w:r>
      <w:r>
        <w:t>https://mcp.opencaselaw.ch/entscheid/bvger_D-6329_2024_d20240926</w:t>
      </w:r>
    </w:p>
    <w:p>
      <w:r>
        <w:t>FR: TAF D-6329/2024 du 26 septembre 2024</w:t>
      </w:r>
    </w:p>
    <w:p>
      <w:r>
        <w:t>IT: TAF D-6329/2024 del 26 settembre 2024</w:t>
      </w:r>
    </w:p>
    <w:p>
      <w:pPr>
        <w:pStyle w:val="Heading2"/>
      </w:pPr>
      <w:r>
        <w:t>Regeste</w:t>
      </w:r>
    </w:p>
    <w:p>
      <w:r>
        <w:t>Vollzug der Wegweisung (beschleunigtes Verfahren) | Vollzug der Wegweisung (beschleunigtes Verfahren); Verfügung des SEM vom 26. September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</w:t>
      </w:r>
    </w:p>
    <w:p>
      <w:r>
        <w:t>D-6329/2024 Seite 7 Entschädigungen vor dem Bundesverwaltungsgericht [VGKE, SR 173.320.2]) dem Beschwerdeführer aufzuerlegen sind (Art. 63 Abs. 1 VwVG). (Dispositiv nächste Seite)</w:t>
      </w:r>
    </w:p>
    <w:p>
      <w:r>
        <w:t>D-6329/2024 Seite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