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D-6321/2019 vom 20. Januar 2020</w:t>
      </w:r>
    </w:p>
    <w:p>
      <w:r>
        <w:t>Bundesverwaltungsgericht, 2020-01-20, DE</w:t>
      </w:r>
    </w:p>
    <w:p>
      <w:r>
        <w:rPr>
          <w:b/>
        </w:rPr>
        <w:t xml:space="preserve">Quelle: </w:t>
      </w:r>
      <w:r>
        <w:t>https://mcp.opencaselaw.ch/entscheid/bvger_D-6321_2019</w:t>
      </w:r>
    </w:p>
    <w:p>
      <w:r>
        <w:t>FR: TAF D-6321/2019 du 20 janvier 2020</w:t>
      </w:r>
    </w:p>
    <w:p>
      <w:r>
        <w:t>IT: TAF D-6321/2019 del 20 gennaio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Für das vorliegende Verfahren gilt nach der am 1. März 2019 in Kraft getretenen Änderung des AsylG das bisherige Recht (vgl. Abs. 1 der Übergangsbestimmungen zur Änderung des AsylG vom 25. September 2015).</w:t>
      </w:r>
    </w:p>
    <w:p>
      <w:r>
        <w:rPr>
          <w:b/>
        </w:rPr>
        <w:t>E. 2</w:t>
      </w:r>
    </w:p>
    <w:p>
      <w:r>
        <w:t>Der Beschwerdeführer ist legitimiert (Art. 105 AsylG i.V.m. Art. 37 VGG und Art. 48 Abs. 1 VwVG). Nachdem der erhobene Kostenvorschuss innert angesetzter Frist geleistet wurde, ist auf die frist- und formgerecht eingereichte Beschwerde (aArt. 108 Abs. 1 AsylG; Art. 105 AsylG i.V.m. Art. 37 VGG und Art. 52 Abs. 1 VwVG) einzutreten.</w:t>
      </w:r>
    </w:p>
    <w:p>
      <w:r>
        <w:rPr>
          <w:b/>
        </w:rPr>
        <w:t>E. 3.1</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3.2</w:t>
      </w:r>
    </w:p>
    <w:p>
      <w:r>
        <w:t>Über offensichtlich unbegründete Beschwerden wird in einzelrichterlicher Zuständigkeit mit Zustimmung eines zweiten Richters entschieden (Art. 111 Bst. e AsylG). Vorliegend handelt es sich, wie nachfolgend aufgezeigt wird, um eine solche, weshalb der Beschwerdeentscheid nur summarisch zu begründen ist (Art. 111a Abs. 2 AsylG).</w:t>
      </w:r>
    </w:p>
    <w:p>
      <w:r>
        <w:rPr>
          <w:b/>
        </w:rPr>
        <w:t>E. 3.3</w:t>
      </w:r>
    </w:p>
    <w:p>
      <w:r>
        <w:t>Gestützt auf Art. 111a Abs. 1 AsylG wird auf einen Schriftenwechsel verzichtet.</w:t>
      </w:r>
    </w:p>
    <w:p>
      <w:r>
        <w:rPr>
          <w:b/>
        </w:rPr>
        <w:t>E. 4.1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die Ablehnung des Asylgesuchs damit, die Vorbringen des Beschwerdeführers seien nicht glaubhaft. Im Einzelnen führte es unter Angabe der jeweiligen Protokollstelle aus, er habe einerseits angegeben, die Verhaftung durch die Hisbollah sei im Jahr 2014 erfolgt, andererseits habe er angegeben, dies sei am 2. Oktober 2013 gewesen und er sei am vierten beziehungsweise fünften Oktober freigelassen worden. Weiter habe er auf die Frage, wann er letztmals zum Haus seines Grossvaters gegangen sei, erklärt, dies sei zwei Monate nach Zustellung des schriftlichen Aufgebots, sich ein Militärbüchlein ausstellen zu lassen, gewesen, in derselben Anhörung jedoch gesagt, er sei nach 2011 nicht mehr nach Syrien zurückgekehrt. Diese Widersprüche habe er nicht zu erklären vermocht. Das von ihm eingereichte Aushebungsaufgebot weise nicht die erforderlichen Merkmale auf. Zudem könnten solche Dokumente auch leicht käuflich erworben werden, weshalb ihnen kein grosser Beweiswert beigemessen werden könne.</w:t>
      </w:r>
    </w:p>
    <w:p>
      <w:r>
        <w:rPr>
          <w:b/>
        </w:rPr>
        <w:t>E. 5.2</w:t>
      </w:r>
    </w:p>
    <w:p>
      <w:r>
        <w:t>Ungeachtet dessen, ob das SEM das vom Beschwerdeführer geltend gemachte Aufgebot für die Aushebung für den Militärdienst zu Recht als unglaubhaft beurteilt hat oder nicht, ist - wie schon in der Zwischenverfügung vom 5. Dezember 2019 festgehalten - festzustellen, dass eine Wehrdienstverweigerung oder Desertion (beziehungsweise wie vorliegend das Nichtbefolgen eines Aufgebots für die Aushebung für den Militärdienst) für sich allein genommen die Flüchtlingseigenschaft nicht zu begründen vermag. Solches wäre asylrechtlich nur dann von Relevanz, wenn damit eine Verfolgung im Sinne von Art. 3 Abs. 1 AsylG verbunden ist, mithin die betroffene Person aus den in dieser Norm genannten Gründen wegen ihrer Wehrdienstverweigerung oder Desertion eine Behandlung zu gewärtigen hat, die ernsthaften Nachteilen gemäss Art. 3 Abs. 2 AsylG gleichkommt (vgl. BVGE 2015/3 E. 5.9). Bezogen auf die spezifische Situation in Syrien könnte dies etwa dann der Fall sein, wenn ein Wehrdienstverweigerer oder Deserteur einer oppositionell aktiven Familie entstammt und bereits in der Vergangenheit die Aufmerksamkeit der staatlichen syrischen Sicherheitskräfte auf sich gezogen hat (vgl. a.a.O. E. 6.7.3). Im Falle des Beschwerdeführers ist jedoch nicht ersichtlich, dass eine solche spezielle Situation vorliegt, weshalb der behaupteten Nichtbefolgung eines militärischen Aufgebots und einer allfällig daraus resultierenden Bestrafung asylrechtlich keine Bedeutung zukommt - dies auch dann nicht, wenn das eingereichte Aufgebot authentisch sein sollte.</w:t>
      </w:r>
    </w:p>
    <w:p>
      <w:r>
        <w:rPr>
          <w:b/>
        </w:rPr>
        <w:t>E. 5.2.1</w:t>
      </w:r>
    </w:p>
    <w:p>
      <w:r>
        <w:t>Die Formulierung in Art. 3 Abs. 1 AsylG "im Land, in dem sie zuletzt wohnten" bezieht sich gemäss der Rechtsprechung des Bundesverwaltungsgerichts (vgl. bspw. Urteil D-7938/2009 vom 1. Juli 2011 E. 4.3) nur auf staatenlose Personen. Demnach kann eine asylrechtliche Verfolgungssituation allein in Bezug auf den Heimatstaat des Beschwerdeführers - vorliegend Syrien - bestehen. Die vom Beschwerdeführer dargelegten Probleme, die er im Libanon erlitten habe (Inbrandsetzen seines Hauses, Inhaftierung durch die Hisbollah) haben sich somit in einem Drittstaat, nicht aber in seinem Heimatstaat verwirklicht. Diese sind mithin entgegen der anderslautenden Ansicht in der Beschwerde und übereinstimmend mit den diesbezüglichen Erwägungen des SEM asylrechtlich ebenfalls nicht von Bedeutung (vgl. BVGE 2014/26 E. 4.3 mit weiteren Hinweisen) - auch dann nicht, wenn die entsprechenden Vorfälle sich tatsächlich zugetragen haben sollten.</w:t>
      </w:r>
    </w:p>
    <w:p>
      <w:r>
        <w:rPr>
          <w:b/>
        </w:rPr>
        <w:t>E. 5.2.2</w:t>
      </w:r>
    </w:p>
    <w:p>
      <w:r>
        <w:t>Im Übrigen ist entgegen den diesbezüglichen Ausführungen in der Beschwerde nicht ersichtlich, inwiefern das SEM den rechtserheblichen Sachverhalt ungenügend festgestellt und/oder abgeklärt oder erhebliche Parteivorbringen nicht gewürdigt oder den Anspruch des Beschwerdeführers auf das rechtliche Gehör verletzt oder anderweitig verfahrensrechtliche Fehler begangen haben soll. Allein aus dem Umstand, dass es die Vorbringen des Beschwerdeführers anders gewürdigt hat, als von ihm erhofft, lässt sich nicht ableiten, der Sachverhalt sei falsch oder unvollständig erhoben beziehungsweise das rechtliche Gehör verletzt worden. In den diesbezüglichen Ausführungen in der Beschwerde wird die Frage der Feststellung des Sachverhalts mit der Frage der materiellen Beurteilung des Asylgesuches vermischt. Es besteht jedoch kein Grund, die Sache - entsprechend dem Hauptantrag in der Beschwerde - an das SEM zur vollständigen und richtigen Abklärung und Feststellung des rechtserheblichen Sachverhalts und zur Neubeurteilung zurückzuweisen.</w:t>
      </w:r>
    </w:p>
    <w:p>
      <w:r>
        <w:rPr>
          <w:b/>
        </w:rPr>
        <w:t>E. 5.2.3</w:t>
      </w:r>
    </w:p>
    <w:p>
      <w:r>
        <w:t>Aus dem Gesagten ergibt sich, dass das SEM zutreffend zur Einschätzung gelangt ist, der Beschwerdeführer erfülle die Flüchtlingseigenschaft nicht. Es hat demnach das Asylgesuch zu Recht abgelehnt.</w:t>
      </w:r>
    </w:p>
    <w:p>
      <w:r>
        <w:rPr>
          <w:b/>
        </w:rPr>
        <w:t>E. 6</w:t>
      </w:r>
    </w:p>
    <w:p>
      <w:r>
        <w:t>Die Ablehnung eines Asylgesuchs oder das Nichteintreten auf ein Asylgesuch hat in der Regel die Wegweisung aus der Schweiz zur Folge (Art. 44 AsylG). Vorliegend hat der Kanton keine Aufenthaltsbewilligung erteilt und zudem besteht kein Anspruch auf Erteilung einer solchen (vgl. BVGE 2013/37 E. 4.4; 2009/50 E. 9, je m.w.H.). Die verfügte Wegweisung steht daher im Einklang mit den gesetzlichen Bestimmungen und wurde demnach von der Vorinstanz zu Recht angeordnet.</w:t>
      </w:r>
    </w:p>
    <w:p>
      <w:r>
        <w:rPr>
          <w:b/>
        </w:rPr>
        <w:t>E. 7</w:t>
      </w:r>
    </w:p>
    <w:p>
      <w:r>
        <w:t>Zusammenfassend ergibt sich, dass der - einzig bezüglich der Ziffern 1 3 des Dispositivs angefochtene - Asylentscheid des SEM das Bundesrecht nicht verletzt sowie den rechtserheblichen Sachverhalt richtig und vollständig feststellt (Art. 106 AsylG). Die Beschwerde ist folglich abzuweisen.</w:t>
      </w:r>
    </w:p>
    <w:p>
      <w:r>
        <w:rPr>
          <w:b/>
        </w:rPr>
        <w:t>E. 8</w:t>
      </w:r>
    </w:p>
    <w:p>
      <w:r>
        <w:t>Bei diesem Ausgang des Verfahrens sind dessen Kosten dem Beschwerdeführer aufzuerlegen (Art. 63 Abs. 1 und 5 VwVG). Die Kosten sind auf Fr. 750.- festzusetzen (Art. 1-3 des Reglements vom 21. Februar 2008 über die Kosten und Entschädigungen vor dem Bundesverwaltungsgericht [VGKE, SR 173.320.2] i.V.m. Art. 16 Abs. 1 Bst. a VGG). Dabei ist zur Begleichung der Verfahrenskosten der in selber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