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D-6317/2011 vom 13. November 2013</w:t>
      </w:r>
    </w:p>
    <w:p>
      <w:r>
        <w:t>Bundesverwaltungsgericht, 2013-11-13, DE</w:t>
      </w:r>
    </w:p>
    <w:p>
      <w:r>
        <w:rPr>
          <w:b/>
        </w:rPr>
        <w:t xml:space="preserve">Quelle: </w:t>
      </w:r>
      <w:r>
        <w:t>https://mcp.opencaselaw.ch/entscheid/bvger_D-6317_2011</w:t>
      </w:r>
    </w:p>
    <w:p>
      <w:r>
        <w:t>FR: TAF D-6317/2011 du 13 novembre 2013</w:t>
      </w:r>
    </w:p>
    <w:p>
      <w:r>
        <w:t>IT: TAF D-6317/2011 del 13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i.V.m.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Kostenvorschuss fristgereicht geleistet wurde, ist auf Beschwerde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hält in seiner Verfügung einleitend fest, bei offensichtlich fehlender Asylrelevanz könne darauf verzichtet werden, auf die Unglaubhaftigkeitselemente in den Vorbringen des Beschwerdeführers ein­zugehen. Alsdann führt es aus, die Vorbringen des Beschwerdeführers müssten vor dem Hintergrund der allgemeinen Lage während des Bürger­kriegs betrachtet werden. Der Krieg zwischen der Regierung und den LTTE sei im Mai 2009 zu Ende gegangen und das Land stehe wieder un­ter der Kontrolle der Regierung. Die LTTE stelle für ihn somit keine unmittelbare Bedrohung mehr dar. Auch der Einfluss der bewaffneten Gruppen habe seit Beendigung des Krieges stark abgenommen. Es bestünden keine Hinweise auf eine Zusammenarbeit der Regierung mit bewaffneten Organisationen. Übergriffe auf die Zivilbevölkerung von Sei­ten krimineller Einzeltäter oder bewaffneter Gruppen würden von den Behörden geahndet. Der Beschwerdeführer habe nie geltend gemacht, ein aktives oder führendes LTTE-Mitglied gewesen zu sein. Nach der Festnahme vom Januar 2007 sei er nach drei Tagen freigelassen worden und im November 2008 habe er Sri Lanka legal verlassen. Dies mache deutlich, dass er bereits zu diesem Zeitpunkt nicht ernsthaft verdächtigt worden sein könne, die LTTE aktiv zu unterstützen. In seinen Schilderun­gen fänden sich keine Hinweise dafür, dass die srilankischen Behörden ein Interesse haben sollten, ihn zu verfolgen. Angesichts seines geringen politischen Profils sei nicht davon auszugehen, dass er mit erheblicher Wahrscheinlichkeit von asylrelevanten Schwierigkeiten bedroht sei. Den beiden eingereichten Zeitungsartikeln seien keine Hinweise darauf zu entnehmen, dass er heute von den heimatlichen Behörden verfolgt würde.</w:t>
      </w:r>
    </w:p>
    <w:p>
      <w:r>
        <w:rPr>
          <w:b/>
        </w:rPr>
        <w:t>E. 4.2</w:t>
      </w:r>
    </w:p>
    <w:p>
      <w:r>
        <w:t>In der Beschwerde wird demgegenüber geltend gemacht, in dem Theaterstück, in dem der Beschwerdeführer mitgespielt habe, seien die militanten Gruppierungen hart kritisiert worden. Er habe deshalb in erster Linie Verfolgungsmassnahmen durch diese Gruppierungen zu befürchten. Seine Mitwirkung an den Festtagen der LTTE wiege weniger schwer. Die Ermordung zweier Mitschauspieler belege die Gezieltheit und Intensität der Verfolgungshandlungen. Die Feststellungen der Vorinstanz hinsicht­lich des Einflusses der bewaffneten Gruppierungen nach dem Bürgerkrieg widersprächen denjenigen des Bundesverwaltungsgerichts in seinem Leiturteil zur Situation in Sri Lanka. Die paramilitärischen Gruppen hätten zwar an Bedeutung verloren, was aber nicht bedeute, dass sie keine Ge­fahr mehr für Kritiker darstellten. Sie seien immer noch für Verbrechen verantwortlich und genössen weitgehend Straffreiheit. Die Verfolgung des Beschwerdeführers sei somit grundsätzlich asylrelevant. Da er in erster Linie Verfolgung durch paramilitärische Gruppen zu befürchten habe, er­staune nicht, dass er Sri Lanka unter seinem eigenen Namen verlassen habe.</w:t>
      </w:r>
    </w:p>
    <w:p>
      <w:r>
        <w:rPr>
          <w:b/>
        </w:rPr>
        <w:t>E. 5.1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17. Oktober 2011 zugrunde liegt, offensichtlich nicht vollständig festgestellt ist. Es besteht kein Zweifel daran,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5.2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5.3</w:t>
      </w:r>
    </w:p>
    <w:p>
      <w:r>
        <w:t>Aus den vorstehend genannten Gründen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6.1</w:t>
      </w:r>
    </w:p>
    <w:p>
      <w:r>
        <w:t>Bei diesem Ausgang des Verfahrens sind keine Kosten aufzuerlegen (Art. 63 Abs. 1 und 2 VwVG). Der geleistete Kostenvorschuss von Fr. 600.- ist dem Beschwerdeführer zurückzuerstatten.</w:t>
      </w:r>
    </w:p>
    <w:p>
      <w:r>
        <w:rPr>
          <w:b/>
        </w:rPr>
        <w:t>E. 6.2</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Da keine Kostennote eingereicht wurde, ist die Parteientschädigung unter Berücksichtigung der massgeblichen Bemessungsfaktoren (vgl. Art. 8 ff. VGKE) von Amtes wegen (Art. 14 Abs. 2 VGKE) auf Fr. 600.- (inkl. Auslagen und Mehrwertsteuer) festzulegen.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