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D-6316/2011 vom 31. Mai 2012</w:t>
      </w:r>
    </w:p>
    <w:p>
      <w:r>
        <w:t>Bundesverwaltungsgericht, 2012-05-31, DE</w:t>
      </w:r>
    </w:p>
    <w:p>
      <w:r>
        <w:rPr>
          <w:b/>
        </w:rPr>
        <w:t xml:space="preserve">Quelle: </w:t>
      </w:r>
      <w:r>
        <w:t>https://mcp.opencaselaw.ch/entscheid/bvger_D-6316_2011</w:t>
      </w:r>
    </w:p>
    <w:p>
      <w:r>
        <w:t>FR: TAF D-6316/2011 du 31 mai 2012</w:t>
      </w:r>
    </w:p>
    <w:p>
      <w:r>
        <w:t>IT: TAF D-6316/2011 del 31 maggio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Nachdem die Verfügung des BFM vom 26. März 2010 unangefochten in Rechtskraft erwuchs, steht vorliegend fest, dass die Überprüfung der vom Beschwerdeführer geltend gemachten Asylgründe nicht mehr Gegen-stand dieses Beschwerdeverfahrens bildet. Dennoch haben die Feststellungen des BFM in der erwähnten Verfügung, nämlich dass die vom Beschwerdeführer geltend gemachten Asylgründe teilweise den Anforderungen an die Glaubhaftigkeit und teilweise denjenigen an die Flüchtlingseigenschaft nicht zu genügen vermögen, in die nachfolgenden Erwägungen hinsichtlich des Wegweisungsvollzugs miteinzufliessen.</w:t>
      </w:r>
    </w:p>
    <w:p>
      <w:r>
        <w:rPr>
          <w:b/>
        </w:rPr>
        <w:t>E. 5.1</w:t>
      </w:r>
    </w:p>
    <w:p>
      <w:r>
        <w:t>Der Beschwerdeführer macht in formeller Hinsicht geltend, dass das Recht auf Akteneinsicht verletzt worden sei, indem die Vorinstanz es unterlassen habe, die Länderinformationen, auf welche sie ihren Entscheid stütze, offenzulegen. Ausserdem sei sie der gebotenen Begründungspflicht nicht in genügendem Mass nachgekommen.</w:t>
      </w:r>
    </w:p>
    <w:p>
      <w:r>
        <w:rPr>
          <w:b/>
        </w:rPr>
        <w:t>E. 5.2</w:t>
      </w:r>
    </w:p>
    <w:p>
      <w:r>
        <w:t>Diese verfahrensrechtlichen Rügen sind vorab zu prüfen, da sie allenfalls geeignet wären,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BV;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Vorliegend ist deshalb zu prüfen, ob die auf Beschwerdeebene erhobene Rüge, das BFM habe gegen formelles Recht verstossen, gerechtfertigt ist. Dabei stellt sich insbesondere die Frage, ob durch die mangelnde Offenlegung der in die angefochtene Verfügung eingeflossenen Länderinformationen die Begründungspflicht beziehungsweise der Anspruch des Beschwerdeführers auf rechtliches Gehör verletzt wurde.</w:t>
      </w:r>
    </w:p>
    <w:p>
      <w:r>
        <w:rPr>
          <w:b/>
        </w:rPr>
        <w:t>E. 5.4.1</w:t>
      </w:r>
    </w:p>
    <w:p>
      <w:r>
        <w:t>Vorab ist festzustellen, dass sich weder in der angefochtenen Verfügung noch in den übrigen vorinstanzlichen Akten explizit bezeichnete Länderberichte oder -informationen über die Situation im Heimatland des Beschwerdeführers befinden, in welche das BFM dem Beschwerdeführer hätte Einsicht gewähren können. Zudem handelt es sich bei den aus Länderdokumentationen gewonnenen Erkenntnissen um allgemeines Fachwissen, welches als solches nicht herausgegeben werden muss. Diesbezüglich ist die von der Vorinstanz in der angefochtenen Verfügung vertretene Argumentation vollumfänglich zu bestätigen. Schliesslich ist davon auszugehen, dass das BFM dem Beschwerdeführer mit Schreiben vom 1. April 2010 und vom 26. Oktober 2011 alle entscheidwesentlichen Verfahrensakten im gesetzlich zulässigen Umfang ediert hat, nachdem im Beschwerdeverfahren keine anders lautende Rüge gestellt wurde. Insbesondere wurde keine Verletzung des Akteneinsichtsrechts bezüglich einzelner, von der durch das BFM gewährten Einsicht ausgenommenen Dokumente geltend gemacht. Insgesamt liegt somit keine Verletzung des Akteneinsichtsrechts vor, und der sinngemäss gestellte Antrag, das BFM sei anzuweisen, sämtliche Herkunftsländerinformationen, auf welche es seinen Entscheid stützte, offenzulegen, ist abzuweisen.</w:t>
      </w:r>
    </w:p>
    <w:p>
      <w:r>
        <w:rPr>
          <w:b/>
        </w:rPr>
        <w:t>E. 5.4.2</w:t>
      </w:r>
    </w:p>
    <w:p>
      <w:r>
        <w:t>Angesichts der eingehenden Auseinandersetzung mit der Lage vor Ort in der Beschwerdeschrift ist zudem der Einwand des Beschwerdeführers, er habe sich mangels Offenlegung der Länderberichte, auf welche sich das BFM bei seiner Entscheidung gestützt habe, nicht sachgerecht Stellung nehmen können, unbegründet.</w:t>
      </w:r>
    </w:p>
    <w:p>
      <w:r>
        <w:rPr>
          <w:b/>
        </w:rPr>
        <w:t>E. 5.4.3</w:t>
      </w:r>
    </w:p>
    <w:p>
      <w:r>
        <w:t>Auch seine Rüge, das BFM habe mangels Offenlegung der Informationsquellen die Begründungspflicht verletzt, vermag nicht zu überzeugen. Vielmehr hat sich das BFM zwar mit etwas knappen Ausführungen, aber mit ausreichender Begründung und unter Hinweis auf die Entwicklung der Sicherheitslage und der Lebensumstände im heutigen Zeitpunkt zum Wegweisungsvollzug nach Sri Lanka geäussert. Der angefochtenen Verfügung können keine Anhaltspunkte entnommen werden, welche den Schluss zuliessen, das BFM habe seine Begründungspflicht verletzt. In Würdigung der gesamten Umstände ist somit festzuhalten, dass das BFM weder das Recht auf Akteneinsicht noch seine Begründungspflicht verletzt hat, weshalb keine Verletzung des rechtlichen Gehörs vorliegt. Damit besteht kein Anlass, die angefochtene Verfügung wegen Verletzung formellen Rechts aufzuheben. Das BFM war nicht gehalten, die verwendeten allgemein zugänglichen Länderinformationen im beantragten Ausmass detailliert offenzulegen.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Gestützt auf die Verfügung des BFM vom 26. März 2010 ist die vom Beschwerdeführer geltend gemachte behördliche Suche nach seiner Person im Zusammenhang mit den dargelegten Tätigkeiten für die LTTE nicht glaubhaft ausgefallen, was rechtskräftig feststeht, da die erwähnte Verfügung des BFM nicht angefochten wurde. Ebenso ist - gestützt auf die gleiche Verfügung - davon auszugehen, dass die von ihm vorgebrachten untergeordneten Tätigkeiten für die LTTE keine begründete Furcht vor einer zukünftigen Verfolgung auszulösen vermögen. Somit steht - in Berücksichtigung der neusten Praxis des Bundesverwaltungsgerichts (vgl. das zur Publikation vorgesehene Urteil des Bundesverwaltungsgerichts BVGE (...)) - fest, dass er im Fall einer Rückkehr in sein Heimatland nicht damit rechnen muss, die Aufmerksamkeit der sri-lankischen Behörden in einem flüchtlingsrechtlich relevanten Ausmass auf sich zu ziehen. Gestützt darauf bestehen auch keine hinreichenden Anhaltspunkte dafür, ihm würde aus dem gleichen Grund eine menschenrechtswidrige Behandlung drohen. An dieser Einschätzung vermögen weder die eingereichten Beweismittel noch die Einwände in der Beschwerde etwas zu ändern.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Bezüglich der allgemeinen Situation in Sri Lanka hat sich das Bundesverwaltungsgericht im obgenannten Urteil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zur Zeit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7.4.2</w:t>
      </w:r>
    </w:p>
    <w:p>
      <w:r>
        <w:t>Der aus E._______ in der D._______ stammende junge, gemäss Aktenlage gesunde und ungebundene Beschwerdeführer verfügt zufolge seiner Aussagen in seinem Herkunftsgebiet über ein verwandtschaftliches Beziehungsnetz (Eltern und Geschwister), so dass er im Fall einer Rückkehr darauf zurückgreifen kann und nicht auf sich allein gestellt ist. Somit ist davon auszugehen, dass er nach seiner Rückkehr in sein Heimatland bei der sozialen Reintegration unterstützt wird. Zudem hat er eine gute Schulbildung und Berufserfahrungen als Schreiner sowie als Reinigungsangestellter, was ihm die berufliche Wiedereingliederung in seinem Heimatland erleichtern wird. Folglich sind auch diesbezüglich die Erwägungen des BFM in der angefochtenen Verfügung als zutreffend zu erachten. Entgegen der in der Beschwerde vertretenen Meinung hat das BFM bei der Prüfung des Wegweisungsvollzugs den persönlichen Hintergrund des Beschwerdeführers konkret und individuell berücksichtigt, weshalb die ihm zu Unrecht vorgeworfene "pauschale Alles-OK-Beurteilung" zurückzuweisen ist.</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6. Dezember 2011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