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D-6312/2011 vom 31. Januar 2012</w:t>
      </w:r>
    </w:p>
    <w:p>
      <w:r>
        <w:t>Bundesverwaltungsgericht, 2012-01-31, DE</w:t>
      </w:r>
    </w:p>
    <w:p>
      <w:r>
        <w:rPr>
          <w:b/>
        </w:rPr>
        <w:t xml:space="preserve">Quelle: </w:t>
      </w:r>
      <w:r>
        <w:t>https://mcp.opencaselaw.ch/entscheid/bvger_D-6312_2011</w:t>
      </w:r>
    </w:p>
    <w:p>
      <w:r>
        <w:t>FR: TAF D-6312/2011 du 31 janvier 2012</w:t>
      </w:r>
    </w:p>
    <w:p>
      <w:r>
        <w:t>IT: TAF D-6312/2011 del 31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einer Beschwerde legitimiert. Der genaue Zeitpunkt der Eröffnung des Urteils ist zwar weder durch einen Empfangsschein noch durch eine Empfangsbestätigung belegt, doch liegt in einem solchen Fall die Beweislast bei den Behörden (vgl. André Moser/Michael Beusch/Lorenz Kneubühler, Prozessieren vor dem Bundesverwaltungsgericht, Handbücher für die Anwaltspraxis, Band X, Basel 2008, Rz. 2 150, S. 166 f.). Es wird demnach von der Rechtzeitigkeit der Beschwerdeeinreichung ausgegangen. Auf die formgerecht eingereichte Beschwerde ist somit einzutreten (Art. 105 und 108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Beschwerdeführenden wurden bereits in der angefochtenen Verfügung unter Hinweis auf die Säumnisfolge darauf hingewiesen, dass sie innert Frist eine Beschwerde in einer der Amtssprachen (Art. 33a VwVG, Art. 54 BGG) einreichen können. Gleichzeitig wurden sie auf die entsprechenden formellen Anforderungen an eine Rechtsmitteleingabe hingewiesen (vgl. Art. 52 VwVG).</w:t>
      </w:r>
    </w:p>
    <w:p>
      <w:r>
        <w:rPr>
          <w:b/>
        </w:rPr>
        <w:t>E. 4.2</w:t>
      </w:r>
    </w:p>
    <w:p>
      <w:r>
        <w:t>Die Beschwerdeführenden wären somit gestützt auf ihre Mitwirkungspflicht gemäss Art. 8 AsylG gehalten gewesen, sich beizeiten um einen Übersetzer zu bemühen. Auch hätte ihnen die Möglichkeit offen gestanden, sich um eine italienisch- oder französischsprachige Übersetzung zu bemühen. Demzufolge ist der sinngemässe Antrag auf Ansetzung einer Frist für die Suche nach einem Übersetzer abzuweisen. Da Spanisch keine Amtssprache des Bundes ist, ist auch der sinngemäss Antrag, das vorliegende Verfahren sei in spanischer Sprache zu führen,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Das Bundesamt kann ein im Ausland eingereichtes Asylgesuch ablehnen, wenn die gesuchstellende Person keine Verfolgung glaubhaft machen oder ihr die Aufnahme in einem Drittstaat zugemutet werden kann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Beim Entscheid über die Erteilung einer Einreisebewilligung gelten restriktive Voraussetzungen, wobei den Behörden ein weiter Ermessensspielraum zukommt. Neben der erforderlichen Gefährdung im Sinne von Art. 3 AsylG sind grundsätzlich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eine effektive Möglichkeit anderweitiger Schutzsuche besteht, mithin der Verbleib am Aufenthaltsort für die Dauer der Sachverhaltsabklärung zugemutet werden kann. Im Weiteren gilt es zu berücksichtigen, dass gemäss einem völkerrechtlichen Grundsatz eine Person, die eine Staatsangehörigkeit besitzt, die Flüchtlingseigenschaft nur dann erlangen kann, wenn sie sich ausserhalb des Staates aufhält, dem sie angehört. Befindet sich die um Asyl nachsuchende Person noch in ihrem Heimatstaat, stellt sich mit anderen Worten die Frage der formellen Zuerkennung der Flüchtlingseigenschaft nicht. Folgerichtig ist bei einem Verbleib im Heimatstaat nicht über die Zuerkennung der Flüchtlingseigenschaft und der Gewährung von Asyl zu befinden, auch dann nicht, wenn eine Verfolgung im Sinne von Art. 3 AsylG glaubhaft gemacht ist (vgl. EMARK 2005 Nr. 19 E. 4 S. 174 ff., EMARK 2004 Nr. 20 E. 3b S. 130 f. und Nr. 21 E. 2 S. 136 f., EMARK 1997 Nr. 15 E. 2.e-g S. 130 ff., welcher angesichts bloss redaktioneller Änderungen bei der letzten Totalrevision des Asyl­gesetzes nach wie vor Gültigkeit hat).</w:t>
      </w:r>
    </w:p>
    <w:p>
      <w:r>
        <w:rPr>
          <w:b/>
        </w:rPr>
        <w:t>E. 5.4</w:t>
      </w:r>
    </w:p>
    <w:p>
      <w:r>
        <w:t>Hinsichtlich des Ver­fahrens bei der schweizerischen Vertre­tung im Ausland sieht Art. 10 Abs. 1 AsylV 1 vor, dass diese mit der asyl­suchenden Person in der Regel eine Befragung durchführt. Ist dies nicht möglich, so wird die asylsuchende Person aufgefordert, ihre Asylgründe schriftlich festzuhalten (Art. 10 Abs. 2 AsylV 1; vgl. hierzu auch BVGE 2007/30 E. 5.2 - E. 5.3). Eine Befragung beziehungsweise eine schriftliche Sachverhaltsabklärung kann sich auch dann erübrigen, wenn der Sachverhalt bereits aufgrund des eingereichten Asylgesuchs als entscheidreif erstellt erscheint. Bei Anhörungsverzicht ist jedoch das rechtliche Gehör zu gewähren (vgl. BVGE 2007/30 E. 5.7), was vorliegend erfolgt ist (vgl. Erwägung C.a vorstehend). Ausserdem hat das BFM den Verzicht auf eine Befragung begründet (vgl. BVGE 2007/30 E. 5.6 - E. 5.7). Auch diese Voraussetzung ist in casu erfüllt.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EMARK 1997 Nr. 15 E. 2.e - g S. 131 ff., welcher angesichts bloss redaktioneller Änderungen bei der letzten Totalrevision das Asylgesetzes nach wie vor Gültigkeit hat).</w:t>
      </w:r>
    </w:p>
    <w:p>
      <w:r>
        <w:rPr>
          <w:b/>
        </w:rPr>
        <w:t>E. 6</w:t>
      </w:r>
    </w:p>
    <w:p>
      <w:r>
        <w:t>Die Vorbringen in der Beschwerdeeingabe vom 5. Dezember 2011 (Eingangsstempel der Schweizer Vertretung in Bogotá) sind nicht geeignet, eine Änderung der vorinstanzlichen Verfügung zu bewirken. Der Argumentation der Vorinstanz werden keine stichhaltigen und substanziierten Gründe entgegengesetzt. Die Ausführungen der Beschwerdeführenden vermögen die nachvollziehbaren Erwägungen des BFM nicht umzustossen. Das BFM hat in der angefochtenen Verfügung zu Recht festgestellt, dass es in den Akten der Beschwerdeführenden keine Anhaltspunkte dafür gebe, dass sie landesweit gezielten Verfolgungsmassnahmen im Sinne von Art. 3 AsylG ausgesetzt seien, weshalb sie die Anforderungen an die Schutzbedürftigkeit nicht erfüllten. Bei dieser Sachlage kann, um Wiederholungen zu vermeiden, auf die Ausführungen in der angefochtenen Verfügung verwiesen werden. Nach dem Gesagten droht den Beschwerdeführenden keine asylrelevante Verfolgung im Sinne von Art. 3 AsylG.</w:t>
      </w:r>
    </w:p>
    <w:p>
      <w:r>
        <w:rPr>
          <w:b/>
        </w:rPr>
        <w:t>E. 7</w:t>
      </w:r>
    </w:p>
    <w:p>
      <w:r>
        <w:t>Aufgrund der vorstehenden Erwägungen erübrigt es sich, auf die weiteren Ausführungen in der Beschwerde sowie auf die eingereichten Beweismittel im Einzelnen einzugehen, da sie am Ergebnis der vorgenommenen Würdigung nichts zu ändern vermögen. Es ist den Beschwerdeführenden nicht gelungen, eine Verfolgung im Sinne von Art. 3 AsylG nachzuweisen oder zumindest glaubhaft zu machen. Die Schutzbedürftigkeit der Beschwerdeführenden im Sinne von Art. 20 i.V.m. Art. 3 AsylG ist mithin nicht gegeben, und es liegen keine Gründe vor, welche die Erteilung einer Einreisebewilligung indizieren würden.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den Beschwerdeführenden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