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D-6308/2013 vom 22. Januar 2014</w:t>
      </w:r>
    </w:p>
    <w:p>
      <w:r>
        <w:t>Bundesverwaltungsgericht, 2014-01-22, DE</w:t>
      </w:r>
    </w:p>
    <w:p>
      <w:r>
        <w:rPr>
          <w:b/>
        </w:rPr>
        <w:t xml:space="preserve">Quelle: </w:t>
      </w:r>
      <w:r>
        <w:t>https://mcp.opencaselaw.ch/entscheid/bvger_D-6308_2013</w:t>
      </w:r>
    </w:p>
    <w:p>
      <w:r>
        <w:t>FR: TAF D-6308/2013 du 22 janvier 2014</w:t>
      </w:r>
    </w:p>
    <w:p>
      <w:r>
        <w:t>IT: TAF D-6308/2013 del 22 gennaio 2014</w:t>
      </w:r>
    </w:p>
    <w:p>
      <w:pPr>
        <w:pStyle w:val="Heading2"/>
      </w:pPr>
      <w:r>
        <w:t>Regeste</w:t>
      </w:r>
    </w:p>
    <w:p>
      <w:r>
        <w:t>Visum aus humanitären Gründen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eines eritreischen Staatsangehörigen um Erteilung eines humanitären Visums zugrunde. Die im Bundesgesetz vom 16. Dezember 2005 über die Ausländerinnen und Ausländer (AuG, SR 142.20)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BFM begründete seinen Einspracheentscheid damit, dass die schweizerische Auslandvertretung den Visumsantrag nach Konsultation des BFM abgewiesen habe, da die fristgerechte Wiederausreise des Beschwerdeführers nach Ablauf des Visums als nicht hinreichend gesichert erachtet worden sei, zumal um einen dauerhaften Schutz in der Schweiz nachgesucht worden sei. Es lägen auch keine humanitären Gründe vor, die eine Einreise in die Schweiz als zwingend notwendig erscheinen liessen. Die wäre nur dann der Fall,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Befinde sich die Person in einem Drittstaat, sei in der Regel davon auszugehen, es bestehe keine Gefährdung mehr. Der Beschwerdeführer halte sich in einem Drittstaat auf und habe als vom UNHCR anerkannter Flüchtling Zugang zu von verschiedenen Hilfsorganisationen bereitgestellten medizinischen Einrichtungen. Seine Lebensbedingungen seien, gemessen am durchschnittlichen Fortkommen vieler anderer, sich in ähnlich gelagerter Situation befindlichen Personen, nicht solch gravierender Art, als dass ein behördliches Eingreifen unumgänglich sei. Der Beschwerdeführer erfülle die Voraussetzungen zur Erteilung des beantragten Visums nicht und die Botschaft habe dessen Ausstellung zu Recht verweigert.</w:t>
      </w:r>
    </w:p>
    <w:p>
      <w:r>
        <w:rPr>
          <w:b/>
        </w:rPr>
        <w:t>E. 4.2</w:t>
      </w:r>
    </w:p>
    <w:p>
      <w:r>
        <w:t>In der Beschwerde wird geltend gemacht, die Einschätzung der Situation des Beschwerdeführers durch das BFM werde als falsch erachtet. Sie widerspreche Länderberichten von Nichtregierungsorganisationen, die sich mit den konkreten Lebensbedingungen von den zirka 500'000 Asylsuchenden und Flüchtlingen in Ägyptern auseinandergesetzt hätten. Ägypten verfüge über keine Asylgesetzgebung und habe kein Sy­stem zur Abklärung des Flüchtlingsstatus. Deshalb übernehme das UNHCR alle Aktivitäten bezüglich Registrierung, Dokumentation und Asyl­gewährung. Vor allem afrikanische Flüchtlinge würden aufgrund ihrer Hautfarbe diskriminiert. Der Zugang zu Arbeit, Bildung und Gesundheitsversorgung sei limitiert. Da es keine Flüchtlingslager gebe, schafften es die Migranten nicht einmal, ein Dach über dem Kopf zu bekommen. Die aus Syrien geflohenen Menschen verschärften die instabile Lage zusätzlich. Irregulären Migranten drohe die Inhaftierung und Rückschaffung ins Heimatland. Die vom UNHCR geleistete finanzielle Hilfe habe eingestellt werden müssen. Die Flüchtlinge würden in die Hände von Schlepperbanden getrieben. Der Beschwerdeführer sei von dieser Situation härter betroffen als andere Flüchtlinge. Seine körperliche Integrität sei nach wie vor bedroht, da seine aus der Geiselhaft davongetragenen körperlichen und seelischen Wunden nicht angemessen versorgt worden seien. Dies mache ihn in besonderem Mass schutzbedürftig und erfordere ein Eingreifen der Schweizer Behörden. Amnesty International habe die ägyptischen Behörden aufgefordert, die Entführungsopfer, die in den Sinai gebracht würden, zu schützen und zu unterstützen.</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5.3</w:t>
      </w:r>
    </w:p>
    <w:p>
      <w:r>
        <w:t>Aufgrund der vorliegenden Akten ergibt sich, dass der Beschwerdeführer vom UNHCR Kairo registriert wurde; ein entsprechender Ausweis wurde ihm Ende 2012 ausgestellt. Das Bundesverwaltungsgericht schliesst sich der Auffassung des BFM, für den legal in Ägypten lebenden Beschwerdeführer bestehe dort keine unmittelbare, ernsthafte und konkrete Gefährdung an Leib und Leben, an. Er lebt seit November 2012 in Ägypten und hat nicht geltend gemacht, konkrete Probleme mit den ägyptischen Behörden gehabt zu haben, weshalb auch nicht von einer ernsthaften und konkreten Gefahr einer Abschiebung nach Eritrea ausgegangen werden kann. Angesichts der allgemeinen Lage, in der sich Flüchtlinge in Ägypten befinden, wird nicht daran gezweifelt, dass er sich in einer schwierigen Lage befindet, von der indessen ein grosser Teil der sich in diesem Land aufhaltenden Flüchtlinge betroffen ist. Seinen Aussagen ge­mäss wurde er von eritreischen Freunden unterstützt und es ist davon auszugehen, dass er auch von seinen im Ausland lebenden Verwandten bei Bedarf finanzielle Zuwendungen erhalten kann. Den Akten ist ebenso zu entnehmen, dass der Beschwerdeführer, nachdem er von seinen Entführern freigelassen wurde, vom IOM Kairo die notwendige medizinische Hilfe erhielt. Für die heute noch benötigte weitere medizinische Betreuung kann er sich zum Beispiel an eines der vier von der Caritas in Kairo betriebenen Gesundheitszentren wenden, die dafür besorgt sind, die medizinische Grundversorgung unentgeltlich sicherzustellen. Bei Bedarf wür­de er von dort an spezialisierte Ärzte oder Kliniken weiterverwiesen. Für in diesem Zusammenhang entstehende Kosten kann er sich an das UNHCR oder seine im Ausland lebenden Verwandten wenden. Angesichts des vorstehend Gesagten hat das BFM berechtigterweise befunden, ein Eingreifen seitens der schweizerischen Behörden sei nicht unumgänglich. An dieser Einschätzung ändern auch die eingereichten Artikel und Berichte über Entführungen afrikanischer Migranten und Löse­gelderpressungen durch im Sinai operierende Beduinen nichts.</w:t>
      </w:r>
    </w:p>
    <w:p>
      <w:r>
        <w:rPr>
          <w:b/>
        </w:rPr>
        <w:t>E. 5.4</w:t>
      </w:r>
    </w:p>
    <w:p>
      <w:r>
        <w:t>Nach dem Gesagten kommt das Bundesverwaltungsgericht zum Schluss, dass die Vorinstanz dem Beschwerdeführer zu Recht kein humanitäres Visum ausgestellt hat. Es erübrigt sich, auf die weiteren Ausführungen in der Beschwerde und die eingereichten Beweismittel im Einzelnen weiter einzugehen, da sie an der Würdigung des vorliegenden Sachverhalts nichts zu ändern vermögen.</w:t>
      </w:r>
    </w:p>
    <w:p>
      <w:r>
        <w:rPr>
          <w:b/>
        </w:rPr>
        <w:t>E. 6</w:t>
      </w:r>
    </w:p>
    <w:p>
      <w:r>
        <w:t>Aus vorstehenden Erwägungen folgt, dass die angefochtene Verfügung im Lichte von Art. 49 VwVG nicht zu beanstanden ist. Die Beschwerde ist daher abzuweisen.</w:t>
      </w:r>
    </w:p>
    <w:p>
      <w:r>
        <w:rPr>
          <w:b/>
        </w:rPr>
        <w:t>E. 7.1</w:t>
      </w:r>
    </w:p>
    <w:p>
      <w:r>
        <w:t>Dem Ausgang des Verfahrens entsprechend wären die Kosten dem unterlegenen Beschwerdeführer aufzuerlegen (Art. 63 Abs. 1 VwVG). Da ihm mit Zwischenverfügung vom 22. November 2013 die unentgeltliche Rechtspflege gemäss Art. 65 Abs. 1 VwVG gewährt wurde, sind indessen keine Verfahrenskosten zu erheben.</w:t>
      </w:r>
    </w:p>
    <w:p>
      <w:r>
        <w:rPr>
          <w:b/>
        </w:rPr>
        <w:t>E. 7.2</w:t>
      </w:r>
    </w:p>
    <w:p>
      <w:r>
        <w:t>Angesichts des Ausgangs des Verfahrens fällt die Zusprechung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