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D-6301/2009 vom 7. Januar 2010</w:t>
      </w:r>
    </w:p>
    <w:p>
      <w:r>
        <w:t>Bundesverwaltungsgericht, 2010-01-07, DE</w:t>
      </w:r>
    </w:p>
    <w:p>
      <w:r>
        <w:rPr>
          <w:b/>
        </w:rPr>
        <w:t xml:space="preserve">Quelle: </w:t>
      </w:r>
      <w:r>
        <w:t>https://mcp.opencaselaw.ch/entscheid/bvger_D-6301_2009</w:t>
      </w:r>
    </w:p>
    <w:p>
      <w:r>
        <w:t>FR: TAF D-6301/2009 du 7 janvier 2010</w:t>
      </w:r>
    </w:p>
    <w:p>
      <w:r>
        <w:t>IT: TAF D-6301/2009 del 7 gennaio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Die Beschwerde ist frist- und formgerecht eingereicht. Der Beschwerdeführer ist durch die angefochtene Verfügung besonders berührt und hat ein schutzwürdiges Interesse an deren Aufhebung beziehungsweise Änderung. Der Beschwerdeführer ist daher zur Einreichung der Beschwerde legitimiert (Art. 108 AsylG sowie Art. 105 AsylG i. V. m. Art. 37 VGG und Art. 48 Abs. 1 und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des Schriftenwechsels verzichtet.</w:t>
      </w:r>
    </w:p>
    <w:p>
      <w:r>
        <w:rPr>
          <w:b/>
        </w:rPr>
        <w:t>E. 4.1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Grundsätzlich sind die Vorbringen in der Rechtsmitteleingabe vom 5. Oktober 2009 nicht geeignet, eine Änderung der vorinstanzlichen Verfügung zu bewirken, obwohl im Zusammenhang mit den vom BFM in der angefochtenen Verfügung angeführten widersprüchlichen Datierungen der Ausreise des Beschwerdeführers aus Eritrea, wie nachfolgend noch aufzuzeigen ist, eine Berichtigung anzubringen ist. Ansonsten werden jedoch der Argumentation des BFM keine stichhaltigen und substanziierten Gründe entgegengesetzt. Bei den vom BFM angegebenen Protokollstellen im Zusammenhang mit der Ausreise des Beschwerdeführers aus Eritrea bestätigte dieser tatsächlich mehrmals übereinstimmend, er sei Anfang 2000 aus Eritrea ausgereist (vgl. A1/ S. 1 und 8; A18/ S. 11 f.). Auch trifft es zu, dass es bei der Fundstelle A18/ S. 16 um die Ausreise aus dem Sudan im Juni 2007 ging. Der Widerspruch aber, wonach der Beschwerdeführer seinen Aussagen zu Beginn der direkten Anhörung zufolge von Juni 1999 bis Dezember 2000 in Eritrea gelebt haben will (vgl. A18/ S. 5), wird nicht aufgelöst. Der Beschwerdeführer hat auch im Verlauf derselben Anhörung den Befrager weder korrigiert, als dieser auf diese Angabe zurückkam (vgl. A18/ S. 5 und 7), noch brachte er bei der Rückübersetzung irgendwelche Einwände oder Erklärungen an. Auch der auf Beschwerdeebene eingereichte Deportationsbefehl in Kopie vermag zu keiner anderen Betrachtungsweise zu führen, zumal Kopien fälschungsanfälliger als Originale und in der Herkunftsregion des Beschwerdeführers Dokumente notorisch leicht käuflich zu erwerben sind.</w:t>
      </w:r>
    </w:p>
    <w:p>
      <w:r>
        <w:rPr>
          <w:b/>
        </w:rPr>
        <w:t>E. 5.2</w:t>
      </w:r>
    </w:p>
    <w:p>
      <w:r>
        <w:t>In der Beschwerdeeingabe unterbleibt zwar nicht grundsätzlich eine Auseinandersetzung mit den von der Vorinstanz in der angefochtenen Verfügung aufgezeigten Unstimmigkeiten, die Ausführungen des Beschwerdeführers vermögen jedoch die substanziiert vorgebrachten und einwandfrei nachvollziehbaren Erwägungen des BFM nicht umzustossen. Weder besteht für das Bundesverwaltungsgericht - entgegen den anderslautenden Ausführungen des Beschwerdeführers - Veranlassung an der Richtigkeit der Abklärungen der Schweizerischen Vertretung in Addis Abeba zu zweifeln noch nach Überprüfung der Akten die Erwägungen des BFM zu beanstanden. Um Wiederholungen zu vermeiden, kann daher auf die zutreffenden Ausführungen in der angefochtenen Verfügung verwiesen werden (vgl. Art. 4 VwVG i. V.m. Art. 6 AsylG und Art. 109 Abs. 3 BGG). Demnach ist davon auszugehen, dass der Beschwerdeführer vor seiner Ausreise jahrelang in D._______ gelebt hat und dort über ein Aufenthaltsrecht verfügt.</w:t>
      </w:r>
    </w:p>
    <w:p>
      <w:r>
        <w:rPr>
          <w:b/>
        </w:rPr>
        <w:t>E. 5.3</w:t>
      </w:r>
    </w:p>
    <w:p>
      <w:r>
        <w:t>Aufgrund der vorstehenden Erwägungen erübrigt es sich, auf die weiteren Ausführungen in der Eingabe des Beschwerdeführers im Einzelnen einzugehen, da sie am Ergebnis der vorgenommenen Würdigung nichts zu ändern vermögen. Das Bundesamt hat das Asylgesuch des Beschwerdeführers demnach zu Recht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(Art. 44 Abs. 1 AsylG; Entscheidungen und Mitteilungen der Schweizerischen Asylrekurskommission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7.2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7.3</w:t>
      </w:r>
    </w:p>
    <w:p>
      <w:r>
        <w:t>Die Vorinstanz wies in ihrer angefochtenen Verfügung zutreffend darauf hin, dass der Grundsatz der Nichtrückschiebung nur Personen schützt, die die Flüchtlingseigenschaft erfüllen.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den Heimatstaat beziehungsweise Herkunftsstaat ist demnach unter dem Aspekt von Art. 5 AsylG rechtmässig. Sodann ergeben sich weder aus den Aussagen des Beschwerdeführers noch aus den Akten Anhaltspunkte dafür, dass er für den Fall einer Ausschaffung in den Heimatstaat beziehungsweise Herkunftsstaat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Auch die allgemeine Menschenrechtssituation im Heimatstaat beziehungsweise Herkunftsstaat lässt den Wegweisungsvollzug zum heutigen Zeitpunkt klarerweise nicht als unzulässig erscheinen.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7.5</w:t>
      </w:r>
    </w:p>
    <w:p>
      <w:r>
        <w:t>In konstanter Praxis wird von einer grundsätzlichen Zumutbarkeit des Wegweisungsvollzugs nach Äthiopien ausgegangen. (vgl. bereits EMARK 1998 Nr. 22). Der zweieinhalb Jahre dauernde Grenzkrieg zwischen Äthiopien und Eritrea wurde im Juni 2000 mit einem von der Organisation für die Einheit Afrikas (OAU) vermittelten Waffenstillstand und einem von beiden Staaten am 12. Dezember 2000 unterzeichneten Friedensabkommen beendet. Seither kontrollieren UNO-Soldaten die Grenze zwischen den beiden Ländern, wobei diese zwar ein sporadisches Wiederaufflackern des Grenzkonfliktes nicht verhindern konnten, jedoch sowohl Äthiopien als auch Eritrea den Schiedsspruch der hierfür eingesetzten internationalen Kommission, welcher am 13. April 2002 ergangen ist, grundsätzlich zu akzeptieren scheinen, und ein erneuter offener Ausbruch des Konflikts bis heute erfolgreich verhindert werden konnte. Auch nach dem Abzug der UN-Friedenstruppen aus Eritrea im März 2008 sowie aus Äthiopien im August 2008 ist im heutigen Zeitpunkt nicht von einem offenen Konflikt im Grenzgebiet zwischen Äthiopien und Eritrea auszugehen, weshalb insgesamt jedenfalls nicht von einer rechtlichrelevanten Verschlechterung der allgemeinen Lage in Äthiopien gesprochen werden kann.</w:t>
      </w:r>
    </w:p>
    <w:p>
      <w:r>
        <w:rPr>
          <w:b/>
        </w:rPr>
        <w:t>E. 7.6</w:t>
      </w:r>
    </w:p>
    <w:p>
      <w:r>
        <w:t>Es sind auch keine individuellen Gründe ersichtlich, welche gegen die Zumutbarkeit einer Rückkehr nach Äthiopien sprechen würden. Bei dem Beschwerdeführer handelt es sich um einen jungen und offensichtlich gesunden Mann, der den Abklärungen der Schweizerischen Botschaft in Addis Abeba zufolge sein ganzes Leben in Äthiopien verbracht hat. Erwiesenermassen verfügt er in Äthiopien über ein funktionierendes Beziehungsnetz. Ausserdem ist es ihm gelungen, von dort aus die Reise in die Schweiz zu organisieren und zu finanzieren. Zusammenfassend kann somit gesagt werden, dass dem Beschwerdeführer die soziale sowie die wirtschaftliche Reintegration gelingen sollte. Nach dem Gesagten erweist sich Vollzug der Wegweisung in den Herkunftsstaat auch als zumutbar.</w:t>
      </w:r>
    </w:p>
    <w:p>
      <w:r>
        <w:rPr>
          <w:b/>
        </w:rPr>
        <w:t>E. 7.7</w:t>
      </w:r>
    </w:p>
    <w:p>
      <w:r>
        <w:t>Schliesslich obliegt es dem Beschwerdeführer, sich bei der zuständigen Vertretung des Heimatstaates beziehungsweise des Herkunftsstaates die für eine Rückkehr notwendigen Reisedokumente zu beschaffen (Art. 8 Abs. 4 AsylG), weshalb der Vollzug der Wegweisung auch als möglich zu bezeichnen ist (Art. 83 Abs. 2 AuG).</w:t>
      </w:r>
    </w:p>
    <w:p>
      <w:r>
        <w:rPr>
          <w:b/>
        </w:rPr>
        <w:t>E. 8</w:t>
      </w:r>
    </w:p>
    <w:p>
      <w:r>
        <w:t>Insgesamt ist der durch die Vorinstanz verfügte Wegweisungsvollzug zu bestätigen. Die Vorinstanz hat diesen zu Recht als zulässig, zumutbar und möglich erachtet. Nach dem Gesagten fällt eine Anordnung der vorläufigen Aufnahme ausser Betracht (Art. 83 Abs. 1-4 AuG).</w:t>
      </w:r>
    </w:p>
    <w:p>
      <w:r>
        <w:rPr>
          <w:b/>
        </w:rPr>
        <w:t>E. 9</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10</w:t>
      </w:r>
    </w:p>
    <w:p>
      <w:r>
        <w:t>Bei diesem Ausgang des Verfahrens sind die Kosten dem Beschwerdeführer aufzuerlegen (Art. 63 Abs. 1 und 5 VwVG), auf insgesamt Fr. 600.-- festzusetzen (Art. 1-3 des Reglements vom 21. Februar 2008 über die Kosten und Entschädigungen vor dem Bundesverwaltungsgericht [VGKE, SR 173.320.2]) und mit dem am 11. November 2009 geleisteten Kostenvorschuss in derselben Höhe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