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D-6287/2008 vom 16. Juni 2010</w:t>
      </w:r>
    </w:p>
    <w:p>
      <w:r>
        <w:t>Bundesverwaltungsgericht, 2010-06-16, DE</w:t>
      </w:r>
    </w:p>
    <w:p>
      <w:r>
        <w:rPr>
          <w:b/>
        </w:rPr>
        <w:t xml:space="preserve">Quelle: </w:t>
      </w:r>
      <w:r>
        <w:t>https://mcp.opencaselaw.ch/entscheid/bvger_D-6287_2008</w:t>
      </w:r>
    </w:p>
    <w:p>
      <w:r>
        <w:t>FR: TAF D-6287/2008 du 16 juin 2010</w:t>
      </w:r>
    </w:p>
    <w:p>
      <w:r>
        <w:t>IT: TAF D-6287/2008 del 16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Die Beschwerdeführerin ist durch die angefochtene Verfügung besonders berührt und hat ein schutzwürdiges Interesse an deren Aufhebung beziehungsweise Änderung; sie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Verfügung bemerkte das BFM einleitend, es bestehe kein Anlass zur Annahme, die Beschwerdeführerin sei vor dem Verlassen ihres Heimatstaates als regimefeindliche Person registriert worden, da aufgrund der Unglaubhaftigkeit ihrer Vorbringen nicht von einer politisch motivierten Verfolgungsabsicht durch die äthiopischen Behörden auszugehen sei. Demzufolge sei auch nicht davon auszugehen, dass sie nach ihrer Ankunft in der Schweiz unter spezieller Beobachtung seitens der äthiopischen Behörden gestanden habe. Zudem könne den Akten kein Hinweis entnommen werden, dass die äthiopischen Behörden von ihrer Mitgliedschaft in der KINIJIT (CUDP) Schweiz erfahren oder gar gestützt darauf irgendwelche Massnahmen eingeleitet hätten. Sie habe sich zwar erwiesenermassen exilpolitisch betätigt. Die eingereichten Beweismittel - wie auch zahlreiche weitere, ähnlich dokumentierte Eingaben in anderen Verfahren - zeigten aber, dass allein in der Schweiz innert weniger Monate viele exilpolitische Anlässe stattfänden, von denen anschliessend oftmals gestellte Gruppenaufnahmen von nicht selten Hunderten von Teilnehmern in einschlägigen Medien publiziert würden. Vor diesem Hintergrund erscheine es aber unwahrscheinlich, dass die äthiopischen Behörden all diesen Gesichtern konkrete Namen zuordnen könnten. Selbst wenn die äthiopischen Behörden über die politischen Aktivitäten ihrer Staatsangehörigen im Ausland informiert wären, könnten sie angesichts der hohen Zahl der im Ausland lebenden äthiopischen Staatsangehörigen nicht jede einzelne Person überwachen und identifizieren. Zudem dürfte es den äthiopischen Behörden bekannt sein, dass viele äthiopische Emigranten aus vorwiegend wirtschaftlichen Gründen versuchten, sich in Europa und speziell auch in der Schweiz vor oder nach Abschluss ihres Asylverfahrens ein dauerhaftes Aufenthaltsrecht zu erwirken, indem sie regimekritischen Aktivitäten nachgingen.</w:t>
      </w:r>
    </w:p>
    <w:p>
      <w:r>
        <w:rPr>
          <w:b/>
        </w:rPr>
        <w:t>E. 4.2</w:t>
      </w:r>
    </w:p>
    <w:p>
      <w:r>
        <w:t>In ihrer Beschwerde hielt die Beschwerdeführerin dem Argument der Vorinstanz, es sei aufgrund der Unglaubhaftigkeit der Verfolgung im Heimatland nicht davon auszugehen, sie stehe unter einer besonderen Beobachtung durch die äthiopischen Behörden, entgegen, dass der Bekanntheitsgrad der asylsuchenden Person nur ein Kriterium unter vielen sei. Als weiteres Kriterium sei insbesondere der Grad der Überwachung zu nennen. Ferner bedeute die Tatsache, dass sie im ordentlichen Verfahren keine asylrelevante Verfolgung habe glaubhaft machen können, nicht, dass sie nicht bereits vor ihrer Ausreise als politische oder unbequeme Person bekannt gewesen sei. Im Zusammenhang mit der Kenntnisnahme ihrer exilpolitischen Aktivitäten durch die äthiopischen Behörden gelte es zu beachten, dass sie neben den bereits erwähnten Aktivitäten im Rahmen der KINIJIT (CUDP) Schweiz auch in der Finanzbeschaffung tätig gewesen sei. Zudem habe sie sich in besonderem Masse exponiert, indem sie an Veranstaltungen teilgenommen habe, welche durch die Präsenz hochrangiger Vertreter der KINIJIT (CUDP) Schweiz die Aufmerksamkeit der äthiopischen Behörden auf sich gezogen haben dürften. Ein Gutachten des Äthiopien-Experten Schröder widerlege die Auffassung des BFM, es sei den äthiopischen Behörden unmöglich, sämtliche Teilnehmer dieser Kundgebungen zu registrieren. Auch im Urteil des Bundesverwaltungsgerichts vom 30. November 2007 (D-5060/2007) werde festgehalten, dass auch einfache Mitglieder und blosse Sympathisanten von exilpolitischen Organisationen bei einer allfälligen Rückkehr gefährdet seien. Ihre Motivation zur exilpolitischen Aktivität sei entgegen der Meinung der Vorinstanz aufrichtig. Die politische Exilaktivität habe zudem unabhängig von ihrer Motivation - politisch oder wirtschaftlich - immer eine Schädigung des Ansehens der äthiopischen Regierung zur Folge. Im Übrigen würde mit dieser Argumentation des BFM ein Missbrauchsargument eingebracht, obschon die Schweizerische Asylrekurskommission (ARK) und auch die Botschaft zum Asylgesetz festhielten, die Motivation sei letztlich irrelevant.</w:t>
      </w:r>
    </w:p>
    <w:p>
      <w:r>
        <w:rPr>
          <w:b/>
        </w:rPr>
        <w:t>E. 5.1</w:t>
      </w:r>
    </w:p>
    <w:p>
      <w:r>
        <w:t>Subjektive Nachfluchtgründe sind dann anzunehmen, wenn eine asylsuchende Person erst durch die Flucht aus dem Heimat- oder Herkunftsstaat oder wegen ihres Verhaltens nach der Ausreise eine Verfolgung im Sinne von Art. 3 AsylG zu befürchten hat. Als subjektive Nachfluchtgründe gelten insbesondere unerwünschte exilpolitische Betätigung, illegales Verlassen das Heimatlandes (sog. Republikflucht) oder Einreichung eines Asylgesuches im Ausland, wenn sie die Gefahr einer zukünftigen Verfolgung begründen. Personen mit subjektiven Nachfluchtgründen erhalten zwar gemäss Art. 54 AsylG kein Asyl, werden jedoch als Flüchtlinge vorläufig aufgenommen (vgl. Entscheidungen und Mitteilungen der Schweizerischen Asylrekurskommission [EMARK] 2006 Nr. 1 E. 6.1 S. 10 mit weiteren Hinweisen). Der Asylausschlussgrund von Art. 54 AsylG ist unabhängig davon anzuwenden, ob Nachfluchtgründe missbräuchlich gesetzt worden sind oder nicht (vgl. EMARK 1995 Nr. 7 E. 7 S. 66 ff.; Botschaft zur Totalrevision des Asylgesetzes vom 4. Dezember 1995, BBl 1996 II 73). Wie von der Beschwerdeführerin richtigerweise geltend gemacht, ist es daher nicht entscheidend, welchen mutmasslichen Zweck die asylsuchende Person durch ihre exilpolitischen Tätigkeiten zu erreichen versucht hat.</w:t>
      </w:r>
    </w:p>
    <w:p>
      <w:r>
        <w:rPr>
          <w:b/>
        </w:rPr>
        <w:t>E. 5.2</w:t>
      </w:r>
    </w:p>
    <w:p>
      <w:r>
        <w:t>Den Erkenntnissen des Bundesverwaltungsgerichts zufolge ist davon auszugehen, dass die äthiopischen Sicherheitsbehörden die Aktivitäten der jeweiligen Exilgemeinschaften relativ intensiv überwachen und diese ausserdem in elektronischen Datenbanken registrieren. Angesichts der 2007 in Äthiopien erfolgten Amnestie von einigen Mitgliedern der CUDP und der nicht unerschöpflichen Ressourcen des äthiopischen Nachrichtendienstes mag sich zwar die Frage nach der aktuellen Überwachungsdichte in der Schweiz stellen, welche indes in casu offenbleiben kann. Denn der Umstand einer allfälligen Überwachung exilpolitischer Tätigkeiten durch das äthiopische Regime reicht für sich allein genommen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Wie nachfolgend dargelegt, bestehen derartige konkrete Hinweise vorliegend nicht, weshalb der Verweis auf das Urteil des Bundesverwaltungsgerichts D-5060/2007 vom 30. November 2007 unerheblich ist.</w:t>
      </w:r>
    </w:p>
    <w:p>
      <w:r>
        <w:rPr>
          <w:b/>
        </w:rPr>
        <w:t>E. 5.3</w:t>
      </w:r>
    </w:p>
    <w:p>
      <w:r>
        <w:t>Wie bereits in der Verfügung des BFM vom 28. April 2008 festgestellt und im Urteil des Bundesverwaltungsgerichtes vom 20. Mai 2008 bestätigt, konnte die Beschwerdeführerin keine Verfolgung durch die heimatlichen Behörden glaubhaft machen. Vor diesem Hintergrund schloss das BFM - entgegen der Meinung der Beschwerdeführerin - zu Recht aus, dass sie bereits vor dem Verlassen ihres Heimatlandes als regimefeindliche Person beim äthiopischen Regime registriert war und überwacht wurde.</w:t>
      </w:r>
    </w:p>
    <w:p>
      <w:r>
        <w:rPr>
          <w:b/>
        </w:rPr>
        <w:t>E. 5.4.1</w:t>
      </w:r>
    </w:p>
    <w:p>
      <w:r>
        <w:t>Zu den politischen Aktivitäten in der Schweiz ist zunächst festzuhalten, dass die Tatsache, wonach sich die Beschwerdeführerin durch die Teilnahme an Kundgebungen politisch engagierte, unbestritten und durch Fotografien dokumentiert ist, auf welchen sie deutlich zu erkennen ist. Auch ist der Beschwerdeführerin zunächst zu Gute zu halten, dass sie dieses politische Engagement bald nach ihrer Ankunft in der Schweiz aufnahm. Allerdings geht aus den Aussagen der Beschwerdeführerin nicht hervor, dass sie im Zusammenhang mit den Fotografien namentlich erwähnt wurde. Auch ist den Bildern nicht zu entnehmen, dass sie sich bei diesen Kundgebungen besonders und über das Mass der anderen Kundgebungsteilnehmer exponiert oder eine Führungsposition inne gehabt habe. Dies gilt auch für die Veranstaltungen, an denen "hochrangige" Mitglieder der KINIJIT (CUDP) zugegen gewesen und mit ihr fotografiert worden sein sollen. An dieser Tatsache ändert auch das Schreiben der KINIJIT (CUDP) Schweiz nichts, welches nur sehr vage und ohne weitere Ausführungen festhält, die Beschwerdeführerin habe bei einer Demonstration in Z._______ eine entscheidende Rolle in der Koordination und Organisation übernommen. Die Beschwerdeführerin selbst gab an der Anhörung vom 27. August 2008 demgegenüber zu Protokoll, sie habe am besagten Tag in Z._______ Parolen gerufen und Mundharmonika gespielt (B9 S. 4), was nicht als entscheidende Rolle gewertet werden kann. Des Weiteren liegen keine gesicherten Anhaltspunkte dafür vor, dass sie von allenfalls an den Kundgebungen beziehungsweise den Versammlungen anwesenden Spitzeln des äthiopischen Regimes identifiziert und in der Folge registriert wurde. Daran vermag auch das vorerwähnte Schreiben des Präsidenten der KINIJIT (CUDP) Schweiz, wonach davon auszugehen sei, dass an der Demonstration in Z._______ Spitzel des äthiopischen Regimes Fotos von den Demonstrierenden gemacht und andere Daten gesammelt und weitergeleitet hätten, aus den oben genannten Gründen nichts zu ändern. Der Einwand in der Beschwerde, wonach sich die Beschwerdeführerin auch an der Finanzbeschaffung beteiligt haben soll, wirkt nachgeschoben. Zudem wird er ohnehin nicht weiter konkretisiert und es wird somit nicht ersichtlich, wieso sie sich damit in besonderem Masse exponiert haben soll. Im Allgemeinen fällt auf, dass die Beschwerdeführerin an der Anhörung am 27. August 2008 zu ihren Aktivitäten im Rahmen der KINIJIT (CUDP) Schweiz nur sehr vage und allgemeine Auskünfte geben konnte, sodass nicht davon auszugehen ist, ihr Engagement für diese Organisation gehe sehr weit. Zuletzt gilt es anzumerken, dass die letzte aktenkundige Teilnahme der Beschwerdeführerin an einer exilpolitischen Veranstaltung nun bereits zwei Jahre her ist.</w:t>
      </w:r>
    </w:p>
    <w:p>
      <w:r>
        <w:rPr>
          <w:b/>
        </w:rPr>
        <w:t>E. 5.4.2</w:t>
      </w:r>
    </w:p>
    <w:p>
      <w:r>
        <w:t>Die eingereichten Internetartikel vermögen die regimekritischen journalistischen Aktivitäten der Beschwerdeführerin nicht glaubhaft zu machen. Erste Zweifel entstehen durch die Tatsache, dass die vier Artikel kurz nach der Einreichung ihres zweiten Asylgesuches und unmittelbar nach der Anhörung beim BFM vom 27. August 2008 veröffentlicht wurden. Zudem beschränkte sich ihre journalistische Betätigung auf einen sehr kurzen Zeitraum (7. - 20. September 2008) und seither ist mehr als ein Jahr vergangen, ohne dass sie weitere derartige Aktivitäten geltend gemacht hätte. Sodann fällt auf, dass die Beschwerdeführerin, die im Heimatstaat keine höhere Schulbildung genossen habe, Autorin von Artikeln sein will, die in Englisch verfasst sind und zum Teil ein hohes wissenschaftliches Niveau aufweisen. Auffallend ist zudem der stark unterschiedliche Stil der einzelnen Artikel. Recherchen des Bundesverwaltungsgerichts haben denn auch ergeben, dass sich die gleichen Artikel auch unter anderer Autorenschaft im Internet finden lassen. Die angebliche journalistische Tätigkeit der Beschwerdeführerin ist damit nicht glaubhaft und damit auch nicht die Gefahr, die heimatlichen Behörden könnten sie deshalb als Regimegegnerin einstufen.</w:t>
      </w:r>
    </w:p>
    <w:p>
      <w:r>
        <w:rPr>
          <w:b/>
        </w:rPr>
        <w:t>E. 5.4.3</w:t>
      </w:r>
    </w:p>
    <w:p>
      <w:r>
        <w:t>Insgesamt erscheint es daher entgegen der Auffassung der Beschwerdeführerin - ungeachtet möglicher Überwachungsaktivitäten der äthiopischen Behörden - überwiegend unwahrscheinlich, dass diese von ihrer exilpolitischen Aktivität Kenntnis erlangt und sie namentlich identifiziert und registriert haben, was sie im Falle einer Rückkehr nach Äthiopien einer erhöhten Verfolgungsgefahr aussetzen würde. Es fehlen denn auch jegliche Hinweise dafür, dass gegen sie aufgrund ihrer exilpolitischen Tätigkeit in Äthiopien ein Strafverfahren oder andere behördliche Massnahmen eingeleitet worden wären. Selbst wenn die exilpolitische Aktivität der Beschwerdeführerin den äthiopischen Behörden zu einem späteren Zeitpunkt bekannt werden sollte, so erscheint es angesichts der eher bescheidenen Quantität und Qualität ihres Engagements als unwahrscheinlich, dass sie deswegen bei einer Rückkehr nach Äthiopien eine flüchtlingsrechtlich relevante Verfolgung zu gewärtigen hätte.</w:t>
      </w:r>
    </w:p>
    <w:p>
      <w:r>
        <w:rPr>
          <w:b/>
        </w:rPr>
        <w:t>E. 6</w:t>
      </w:r>
    </w:p>
    <w:p>
      <w:r>
        <w:t>Aufgrund der vorstehenden Erwägungen ergibt sich, dass die geltend gemachten subjektiven Nachfluchtgründe nicht geeignet sind, eine flüchtlingsrechtlich relevante Verfolgungsfurcht zu begründen. Das Bundesamt hat die Flüchtlingseigenschaft demnach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Äthiopien herrscht zurzeit keine Situation allgemeiner Gewalt, weshalb in konstanter Praxis von der generellen Zumutbarkeit des Wegweisungsvollzugs nach Äthiopien ausgegangen wird (vgl. Urteile des Bundesverwaltungsgerichts D-7416/2007 vom 27. November 2009, D-5356/2006 vom 8. Juni 2009, D-3894/2006 vom 25. September 2008).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aktuellen Situation in Äthiopien kann im Falle einer Rückkehr der Beschwerdeführerin nicht von einer konkreten Gefährdung ausgegangen werden.</w:t>
      </w:r>
    </w:p>
    <w:p>
      <w:r>
        <w:rPr>
          <w:b/>
        </w:rPr>
        <w:t>E. 8.4.2</w:t>
      </w:r>
    </w:p>
    <w:p>
      <w:r>
        <w:t>In den Akten finden sich auch keine konkreten Anhaltspunkte dafür, dass die Beschwerdeführerin aus individuellen Gründen wirtschaftlicher und sozialer Natur in eine existenzbedrohende Situation geraten würde. Es ist ihr, die gemäss eigenen Angaben über eine abgeschlossene Schulbildung, eine Ausbildung als Coiffeuse und über Berufserfahrung im administrativen Bereich verfügt (A1 S. 2, A14 S. 6), zuzumuten, sich erneut in Äthiopien niederzulassen und dort eine Existenz aufzubauen. Zudem gab sie an, dass ihre Mutter und vier Halbschwestern sowie ein Halbbruder in Addis Abeba leben (A1 S. 3, A14 S.4), weshalb sie bei einer Rückkehr dorthin nicht allein auf sich gestellt ist.</w:t>
      </w:r>
    </w:p>
    <w:p>
      <w:r>
        <w:rPr>
          <w:b/>
        </w:rPr>
        <w:t>E. 8.4.3</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Die Beschwerdeführerin stellte mit ihrem zweiten Asylgesuch gleichzeitig ein Gesuch um Gewährung der unentgeltlichen Rechtspflege im Sinne von Art. 65 Abs. 1 VwVG. Das BFM behandelte dieses Gesuch in seiner Verfügung vom 1. September 2008 fälschlicherweise nicht und erhob eine Gebühr von Fr. 600.-. Vorliegend gilt es festzuhalten, dass die Rechtsbegehren der Beschwerdeführerin im Zeitpunkt der Einreichung des zweiten Asylgesuches beim BFM nicht als aussichtslos bezeichnet werden konnten. Dem mit dem zweiten Asylgesuch gestellten Gesuch der Beschwerdeführerin um unentgeltliche Prozessführung hätte somit entsprochen werden müssen (Art. 17b Abs. 2 AsylG). Die Vorinstanz hat der Beschwerdeführerin deshalb zu Unrecht die Verfahrenskosten von Fr. 600.- auferlegt.</w:t>
      </w:r>
    </w:p>
    <w:p>
      <w:r>
        <w:rPr>
          <w:b/>
        </w:rPr>
        <w:t>E. 11</w:t>
      </w:r>
    </w:p>
    <w:p>
      <w:r>
        <w:t>Die Beschwerde ist nach dem Gesagten abzuweisen, soweit darin die Feststellung der Flüchtlingseigenschaft, die Asylgewährung und die Anordnung der vorläufigen Aufnahme beantragt wird. Hinsichtlich des Gesuches um Gewährung der unentgeltlichen Rechtspflege im Sinne von Art. 65 Abs. 1 VwVG vor der Vorinstanz ist sie jedoch gutzuheissen. Die Dispositivziffer 6 der angefochtenen Verfügung vom 1. September 2008 ist aufzuheben.</w:t>
      </w:r>
    </w:p>
    <w:p>
      <w:r>
        <w:rPr>
          <w:b/>
        </w:rPr>
        <w:t>E. 12</w:t>
      </w:r>
    </w:p>
    <w:p>
      <w:r>
        <w:t>Bei diesem Ausgang des Verfahrens wären der Beschwerdeführerin reduzierte Kosten aufzuerlegen (Art. 63 Abs. 1 VwVG). Nachdem das mit der Beschwerde gestellte Gesuch um Gewährung der unentgeltlichen Rechtspflege im Sinne von Art. 65 Abs. 1 VwVG mit Verfügung vom 16. Oktober 2008 gutgeheissen wurde, sind keine Verfahrenskosten aufzuerlegen.</w:t>
      </w:r>
    </w:p>
    <w:p>
      <w:r>
        <w:rPr>
          <w:b/>
        </w:rPr>
        <w:t>E. 13</w:t>
      </w:r>
    </w:p>
    <w:p>
      <w:r>
        <w:t>Teilweise obsiegende Parteien haben Anspruch auf eine reduzierte Parteientschädigung für die ihnen erwachsenen notwendigen und verhältnismässig hohen Kosten (Art. 64 Abs. 1 VwVG). Die Rechtsvertretung der Beschwerdeführerin hat es bisher unterlassen, eine Kostennote einzureichen. Der Aufwand lässt sich jedoch hinreichend zuverlässig abschätzen. Die von der Vorinstanz zu entrichtende reduzierte Parteientschädigung ist auf Fr. 100.- (inkl. Auslagen und Mehrwertsteuer) festzusetzen (Art. 14 des Reglements vom 21. Februar 2008 über die Kosten und Entschädigungen vor dem Bundesverwaltungsgericht [VGKE, SR 173.320.2])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