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D-6285/2014 vom 28. Mai 2015</w:t>
      </w:r>
    </w:p>
    <w:p>
      <w:r>
        <w:t>Bundesverwaltungsgericht, 2015-05-28, DE</w:t>
      </w:r>
    </w:p>
    <w:p>
      <w:r>
        <w:rPr>
          <w:b/>
        </w:rPr>
        <w:t xml:space="preserve">Quelle: </w:t>
      </w:r>
      <w:r>
        <w:t>https://mcp.opencaselaw.ch/entscheid/bvger_D-6285_2014</w:t>
      </w:r>
    </w:p>
    <w:p>
      <w:r>
        <w:t>FR: TAF D-6285/2014 du 28 mai 2015</w:t>
      </w:r>
    </w:p>
    <w:p>
      <w:r>
        <w:t>IT: TAF D-6285/2014 del 28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Gemäss langjähriger asylrechtlicher Praxis handelt es sich bei der Einreichung eines Asylgesuches aus dem Ausland um ein sogenanntes "relativ höchstpersönliches Recht" (vgl., Entscheidungen und Mitteilungen der Schweizerischen Asylrekurskommission [EMARK] 1996 Nr. 5), und die Ausübung eins höchstpersönlichen Rechts setzt lediglich die Urteilsfähigkeit einer für sich selbst handelnden Person voraus. Das Bundesverwaltungsgericht hält in BVGE 2011/39 E. 4.3.2 fest, dass das Stellen eines Asylgesuches eine Vertretung lediglich insofern zulässt, als für eine urteilsunfähige Person ein Asylgesuch auch durch ihren gesetzlichen Vertreter eingereicht werden kann, ansonsten jedoch ein persönlicher Antrag durch die um asylsuchende Person erforderlich ist. Die betreffende Person muss persönlich vor einer schweizerischen Asylbehörde im In- oder Ausland auftreten, damit feststeht, dass sie tatsächlich ein Asylgesuch stellen wollte. Im Verlauf des erstinstanzlichen Verfahrens ist es möglich, diesen Mangel zu beheben (vgl. BVGE 2011/39 E. 4.3.2).</w:t>
      </w:r>
    </w:p>
    <w:p>
      <w:r>
        <w:rPr>
          <w:b/>
        </w:rPr>
        <w:t>E. 1.2.1</w:t>
      </w:r>
    </w:p>
    <w:p>
      <w:r>
        <w:t>Im vorliegenden Verfahren wurde die Beschwerdeführerin unter Hinweis auf die Säumnisfolge mit Schreiben vom 5. Mai 2014 aufgefordert, eine persönlich von ihren urteilsfähigen Kindern verfasste Willensäusserung beziehungsweise Stellungnahme einzureichen (vgl. vorstehend Bst. B.a mit Hinweis auf BVGE 2011/39 E. 4.3 m.w.H.). Trotz dieser Aufforderung sind diese nie persönlich in Erscheinung getreten und haben nie den Willen bekundet, um Asyl zu ersuchen, weshalb die Vorinstanz mit separater Verfügung vom 11. September 2014 auf deren Asylgesuch nicht eintrat (vgl. vorstehend Bst. C). Partei im vorliegenden Verfahren ist somit nur die Beschwerdeführerin. Folglich ist im vorliegenden Verfahren, soweit die Beschwerdeführerin in ihrer Eingabe vom 14. Oktober 2014 (Eingangsstempel der Vertretung vom 16. Oktober 2014) sinngemäss geltend macht, auch ihren Kindern sei die Einreise in die Schweiz zu gewähren, weil sie sich ebenfalls im Sudan nicht sicher fühlen und um ihr Leben fürchten würden, nicht einzutreten, zumal die Kinder ihre Mutter für das Beschwerdeverfahren nicht bevollmächtigt haben.</w:t>
      </w:r>
    </w:p>
    <w:p>
      <w:r>
        <w:rPr>
          <w:b/>
        </w:rPr>
        <w:t>E. 1.3</w:t>
      </w:r>
    </w:p>
    <w:p>
      <w:r>
        <w:t>Die Beschwerde wurde in englischer Sprache und somit nicht in einer Amtssprache des Bundes abgefasst. Auf die Ansetzung einer Frist zu Beschwerdeverbesserung kann indessen aus prozessökonomischen Gründen praxisgemäss verzichtet werden, zumal der Eingabe der Beschwerdeführerin genügend klare, sinngemässe Rechtsbegehren sowie deren Begründung zu entnehmen sind und ohne Weiteres befunden werden kann.</w:t>
      </w:r>
    </w:p>
    <w:p>
      <w:r>
        <w:rPr>
          <w:b/>
        </w:rPr>
        <w:t>E. 1.4</w:t>
      </w:r>
    </w:p>
    <w:p>
      <w:r>
        <w:t>Gemäss den vorstehenden Ausführungen ist die Beschwerde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zur Frage der Auswirkung der Streichung von Art. 106 Abs. 1 Bst. a aAsylG [Beschwerdegrund der Unangemessenheit] auf das Beschwerdeverfahren in Ausland-Asylverfahren, vgl. Urteil des Bundesverwaltungsgerichts D-103/2014 vom 21. Januar 2015, E. 4 ff. [zur Publikation vorgesehen]).</w:t>
      </w:r>
    </w:p>
    <w:p>
      <w:r>
        <w:rPr>
          <w:b/>
        </w:rPr>
        <w:t>E. 3</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4.1</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von der Vertretung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in diesem Fall im Sinne des rechtlichen Gehörs die Gelegenheit zu geben, sich zu einem abzusehenden negativen Entscheid zumindest schriftlich zu äussern (BVGE 2007/30 E. 5.7 S. 367).</w:t>
      </w:r>
    </w:p>
    <w:p>
      <w:r>
        <w:rPr>
          <w:b/>
        </w:rPr>
        <w:t>E. 4.2</w:t>
      </w:r>
    </w:p>
    <w:p>
      <w:r>
        <w:t>Im vorliegenden Fall wurde die Beschwerdeführerin von der Botschaft in Khartum zu ihren Asylgesuch nicht befragt. Indes wurde sie im Rahmen des rechtlichen Gehörs mittels Schreiben vom 5. Mai 2014 zur weiteren Konkretisierung ihrer Asylgründe aufgefordert (vgl. Bst. B.a hiervor). In Verbindung mit den bereits vorgängig enthaltenen Fragestellungen sowie den entsprechenden Antworten der Beschwerdeführenden dazu (vgl. Bstn. B.a und B.b hiervor), konnte das SEM davon ausgehen, dass sämtliche für die Beurteilung des Asylgesuchs aus dem Ausland notwendigen Aspekte abgedeckt waren, namentlich die genauen Personalien der asylsuchenden Personen, die detaillierten Asylvorbringen, die unternommenen Massnahmen zur Schutzsuche oder die Möglichkeit einer innerstaatlichen Fluchtalternative. Dabei ist festzustellen, dass sich die Beschwerdeführerin in allen ihren Eingaben grundsätzlich auf den gleichen Sachverhalt berief. Aufgrund der Schilderungen der Beschwerdeführerin durfte das SEM davon ausgehen, dass sämtliche für die Beurteilung des Asylgesuches aus dem Ausland notwendigen Sachverhaltsaspekte vorgebracht wurden. Das SEM hat den Verzicht auf die Anhörung begründet, so dass im vorliegenden Verfahren dem Anspruch der Beschwerdeführerin auf Gewährung des rechtlichen Gehörs Rechnung getragen und der entscheidwesentliche Sachverhalt in genügender Weise und umfassend abgeklärt wurde.</w:t>
      </w:r>
    </w:p>
    <w:p>
      <w:r>
        <w:rPr>
          <w:b/>
        </w:rPr>
        <w:t>E. 5.1</w:t>
      </w:r>
    </w:p>
    <w:p>
      <w:r>
        <w:t>Die Vorinstanz kann ein im Ausland gestelltes Asylgesuch ablehnen, wenn die asylsuchende Person keine Verfolgung glaubhaft machen kann oder ihr die Aufnahme in einem Drittstaat zugemutet werden kann (vgl. Art. 3, Art. 7 und aArt. 52 Abs. 2 AsylG).</w:t>
      </w:r>
    </w:p>
    <w:p>
      <w:r>
        <w:rPr>
          <w:b/>
        </w:rPr>
        <w:t>E. 5.2</w:t>
      </w:r>
    </w:p>
    <w:p>
      <w:r>
        <w:t>Gemäss aArt. 20 Abs. 2 AsylG bewilligt das SEM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5.3</w:t>
      </w:r>
    </w:p>
    <w:p>
      <w:r>
        <w:t>Nach Prüfung der Akten durch das Gericht ist festzustellen, dass die Vorinstanz in der angefochtenen Verfügung überzeugend dargelegt hat, weshalb den Verfolgungsvorbringen der Beschwerdeführerin keine einreiserelevante Bedeutung zukommt. Es kann deshalb vorab auf die vorinstanzlichen Erwägungen verwiesen werden (vgl. vorstehend Bst. D.). Die Beschwerdeführerin hält sich in einem Drittstaat, dem Sudan, auf. Zwar anerkennt das Bundesverwaltungsgericht, dass die Umstände im Sudan schwierig und teilweise unbefriedigend sind. Dennoch sind sie nicht dergestalt, dass auch ohne Bezug zur Schweiz eine Einreise in die Schweiz bewilligt werden müsste. Das Bundesverwaltungsgericht schliesst sich somit den Ausführungen der Vorinstanz vollumfänglich an, zumal sich aus der Beschwerde nichts ergibt, was die Erwägungen der Vorinstanz entkräften könnte. Auch der bedauerliche Tod des ältesten Sohnes der Beschwerdeführerin vermag zu keiner anderen Betrachtungsweise zu führen. Der geschilderten Drohung sowie der geltend gemachten sexuellen Belästigung an ihrem Arbeitsplatz liegt keine asylrechtlich relevante Verfolgungsmotivation zugrunde, zumal eine solche schon aus den Akten nicht ersichtlich ist.</w:t>
      </w:r>
    </w:p>
    <w:p>
      <w:r>
        <w:rPr>
          <w:b/>
        </w:rPr>
        <w:t>E. 5.4</w:t>
      </w:r>
    </w:p>
    <w:p>
      <w:r>
        <w:t>Somit ist es der Beschwerdeführerin nicht gelungen, eine aktuelle Gefährdung im Sinne von Art. 3 AsylG aufzuzeigen, welche die Bewilligung der Einreise in die Schweiz rechtfertigen würde. Die Schutzbedürftigkeit der Beschwerdeführerin im Sinne von aArt. 20 i.V.m. Art. 3 AsylG ist nicht gegeben. Das SEM hat der Beschwerdeführerin zu Recht die Einreise in die Schweiz verweigert und das Asylgesuch abgelehnt.</w:t>
      </w:r>
    </w:p>
    <w:p>
      <w:r>
        <w:rPr>
          <w:b/>
        </w:rPr>
        <w:t>E. 6</w:t>
      </w:r>
    </w:p>
    <w:p>
      <w:r>
        <w:t>Aus diesen Erwägungen ergibt sich, dass die angefochtene Verfügung Bundesrecht nicht verletzt und den rechtserheblichen Sachverhalt richtig und vollständig feststellt (Art. 106 Abs. 1 AsylG). Die Beschwerde ist daher abzuweisen.</w:t>
      </w:r>
    </w:p>
    <w:p>
      <w:r>
        <w:rPr>
          <w:b/>
        </w:rPr>
        <w:t>E. 7</w:t>
      </w:r>
    </w:p>
    <w:p>
      <w:r>
        <w:t>Bei diesem Ausgang des Verfahrens wären dessen Kosten grundsätzlich der Beschwerdeführerin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