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D-6280/2014 vom 26. November 2014</w:t>
      </w:r>
    </w:p>
    <w:p>
      <w:r>
        <w:t>Bundesverwaltungsgericht, 2014-11-26, DE</w:t>
      </w:r>
    </w:p>
    <w:p>
      <w:r>
        <w:rPr>
          <w:b/>
        </w:rPr>
        <w:t xml:space="preserve">Quelle: </w:t>
      </w:r>
      <w:r>
        <w:t>https://mcp.opencaselaw.ch/entscheid/bvger_D-6280_2014</w:t>
      </w:r>
    </w:p>
    <w:p>
      <w:r>
        <w:t>FR: TAF D-6280/2014 du 26 novembre 2014</w:t>
      </w:r>
    </w:p>
    <w:p>
      <w:r>
        <w:t>IT: TAF D-6280/2014 del 26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BGG).</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1.4</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somit einzutreten (Art. 108 Abs. 1 AsylG; Art. 105 AsylG i.V.m. Art. 37 VGG und Art. 48 Abs. 1 sowie Art. 52 Abs. 1 VwVG).</w:t>
      </w:r>
    </w:p>
    <w:p>
      <w:r>
        <w:rPr>
          <w:b/>
        </w:rPr>
        <w:t>E. 2</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4.1</w:t>
      </w:r>
    </w:p>
    <w:p>
      <w:r>
        <w:t>Ein Asylgesuch kann gemäss aArt. 19 AsylG im Ausland bei einer schweizerischen Vertretung gestellt werden, die es mit einem Bericht an das Bundesamt überweist (aArt.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4.2</w:t>
      </w:r>
    </w:p>
    <w:p>
      <w:r>
        <w:t>Die Beschwerdeführenden wurden durch die Botschaft nicht zu ihrem Asylgesuch befragt. Das BFM begründete den Verzicht auf eine mündliche Befragung in der angefochtenen Verfügung mit dem begrenzten Personalbestand der Botschaft und fehlenden Voraussetzungen im sicherheitstechnischen und räumlichen Bereich. Die Beschwerdeführenden legten ihre Vorbringen jedoch bereits im Asylgesuch vom 27. Februar 2011 sowie dessen Zusatz vom 13. Juni 2012 schriftlich dar (vgl. Sachverhalt Bst. A). Zudem stellte ihnen das BFM mit Zwischenverfügung vom 22. Oktober 2012 zusätzlich einen Katalog von für die vollständige Erstellung des rechtserheblichen Sachverhalts noch zu beantwortenden offenen Fragen zu, wozu sie am 15. Januar 2013 sowie am 10. Januar 2014 schriftlich Stellung nahmen (vgl. Sachverhalt Bst. B, C und E). Damit erhielten sie rechtsgenüglich Gelegenheit, ihre Asylgründe darzulegen und bei der Erhebung und Ergänzung des massgeblichen Sachverhalts mitzuwirken.</w:t>
      </w:r>
    </w:p>
    <w:p>
      <w:r>
        <w:rPr>
          <w:b/>
        </w:rPr>
        <w:t>E. 5.1</w:t>
      </w:r>
    </w:p>
    <w:p>
      <w:r>
        <w:t>Das Bundesamt kann ein im Ausland gestelltes Asylgesuch ablehnen, wenn die asylsuchende Person keine Verfolgung glaubhaft machen oder ihr die Aufnahme in einem Drittstaat zugemutet werden kann (Art. 3, Art. 7 und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als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6.1</w:t>
      </w:r>
    </w:p>
    <w:p>
      <w:r>
        <w:t>Vorliegend gelangt das Bundesverwaltungsgericht nach einlässlicher Prüfung der Akten in Übereinstimmung mit der Vorinstanz zum Schluss, dass die geltend gemachten Vorbringen des Beschwerdeführers nicht a priori unglaubhaft erscheinen und darauf schliessen lassen, dass er in seinem Heimatstaat Äthiopien ernstzunehmende beziehungsweise in asylrechtlicher Hinsicht relevante Schwierigkeiten mit den heimatlichen Behörden gehabt hat. Befremdlich wirkt allerdings die Argumentation der Vorinstanz, die Asylvorbringen des Beschwerdeführers aus dem Jahre 1987 seien schon deshalb nicht als asylerheblich zu erachten, weil weder in zeitlicher noch in sachlicher Hinsicht ein genügend enger Kausalzusammenhang zwischen Verfolgung und der Asylantragstellung in der Schweiz im Jahr 2011 bestehe. Denn aufgrund der Aktenlage scheint jedenfalls unbestritten zu sein, dass der Beschwerdeführer nach seiner Flucht aus halbjähriger Gefangenschaft im März 1987 bereits wenig später bei den sudanesischen Behörden um Schutz vor der in seinem Heimatland erlittenen Verfolgung nachsuchte, dort vom UNHCR im April 1987 als Mandatsflüchtling anerkannt wurde und diesen Status mutmasslich noch heute besitzt. Ob der Beschwerdeführer und seine übrigen Familienangehörigen (unter dem Aspekt des sogenannten Familienasyls) bei einer heutigen Rückkehr nach Äthiopien immer noch einer asylrechtlich relevanten Verfolgung ausgesetzt sein könnten, kann demgegenüber offengelassen werden, da sie den zusätzlichen Schutz der Schweiz gemäss aArt. 52 Abs. 2 AsylG nicht benötigen, weil es ihnen, wie nachstehend aufgezeigt, trotz der zugestandenermassen nicht einfachen Bedingungen für äthiopische Flüchtlinge im Sudan zuzumuten ist, dort zu verbleiben.</w:t>
      </w:r>
    </w:p>
    <w:p>
      <w:r>
        <w:rPr>
          <w:b/>
        </w:rPr>
        <w:t>E. 6.2</w:t>
      </w:r>
    </w:p>
    <w:p>
      <w:r>
        <w:t>Diesbezüglich ist vorab auf die Erwägungen des BFM in der angefochtenen Verfügung zu verweisen. Insbesondere ist der Vorinstanz darin beizupflichten, dass angesichts der langjährigen Anwesenheit des Beschwerdeführers in Äthiopien sowie seiner bald 20 Jahre währenden Ehe mit seiner Frau (sowie drei Kindern im Alter von 17, 15 und neun Jahren) davon auszugehen ist, dass er sich im Sudan sowohl beruflich als auch sozial hinreichend integriert hat, um mit seiner Familie weiterhin dort zu leben. An dieser Einschätzung vermag auch der Umstand nichts zu ändern, dass seine Frau im März 2012 Opfer eines Vergewaltigungsversuchs geworden ist, handelt es sich bei diesem Vorkommnis - so tragisch und belastend es aus Sicht der Beschwerdeführerin auch sein mag - doch allem Anschein nach um ein einmaliges Ereignis, das auch dazu geführt hat, dass sich das UNHCR um die Belange der Beschwerdeführerin gekümmert, diese aus Angst vor Vergeltungsmassnahmen indessen auf eine gerichtliche Anzeige gegen ihren Peiniger verzichtet hat. Im Weiteren ist aufgrund der vom Beschwerdeführer sowie dessen Ehefrau zu den Akten gereichten persönlichen Ausbildungszertifikaten (vgl. Sachverhalt Bst. F) davon auszugehen, dass auch ihre drei Kinder im Sudan die nötige schulische Ausbildung erhalten, um dereinst ein eigenständiges Leben führen zu können und bei Bedarf ihre beiden Eltern zu unterstützen. Vor dem Hintergrund des Gesagten sind die Sachvorbringen der Beschwerdeführenden in ihrer Gesamtheit betrachtet nicht geeignet, einen gesetzlichen Anspruch auf Erteilung einer Einreisebewilligung in die Schweiz im Rahmen eines Auslandverfahrens zu begründen. Aus dem Gesagten folgt, dass das BFM den Beschwerdeführenden zu Recht die Einreise in die Schweiz verweigert und ihre Asylgesuche abgelehnt hat.</w:t>
      </w:r>
    </w:p>
    <w:p>
      <w:r>
        <w:rPr>
          <w:b/>
        </w:rPr>
        <w:t>E. 7</w:t>
      </w:r>
    </w:p>
    <w:p>
      <w:r>
        <w:t>Aus diesen Erwägungen ergibt sich, dass die angefochtene Verfügung Bundesrecht nicht verletzt und den rechtserheblichen Sachverhalt richtig sowie vollständig feststellt (Art. 106 Abs. 1 AsylG). Die Beschwerde ist demnach abzuweisen.</w:t>
      </w:r>
    </w:p>
    <w:p>
      <w:r>
        <w:rPr>
          <w:b/>
        </w:rPr>
        <w:t>E. 8</w:t>
      </w:r>
    </w:p>
    <w:p>
      <w:r>
        <w:t>Bei diesem Ausgang des Verfahrens wären dessen Kosten grundsätzlich den Beschwerdeführenden aufzuerlegen (Art. 63 Abs. 1 VwVG). Indessen ist vorliegend aus verwaltungsökonomischen Gründen sowie in Anwendung von Art. 63 Abs. 1 in fine VwVG und Art. 6 Abs. 1 Bst. b des Reglements vom 21. Februar 2008 über die Kosten und Entschädigungen vor dem Bundesverwaltungsgericht (VGKE, SR 173.320.2)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