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D-6279/2014 vom 20. November 2014</w:t>
      </w:r>
    </w:p>
    <w:p>
      <w:r>
        <w:t>Bundesverwaltungsgericht, 2014-11-20, DE</w:t>
      </w:r>
    </w:p>
    <w:p>
      <w:r>
        <w:rPr>
          <w:b/>
        </w:rPr>
        <w:t xml:space="preserve">Quelle: </w:t>
      </w:r>
      <w:r>
        <w:t>https://mcp.opencaselaw.ch/entscheid/bvger_D-6279_2014</w:t>
      </w:r>
    </w:p>
    <w:p>
      <w:r>
        <w:t>FR: TAF D-6279/2014 du 20 novembre 2014</w:t>
      </w:r>
    </w:p>
    <w:p>
      <w:r>
        <w:t>IT: TAF D-6279/2014 del 20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vorliegende Urteil ergeht gestützt auf die Übergangsbestimmung zur Änderung des Asylgesetzes vom 28. September 2012 (in Kraft getreten am 29. September 2012; AS 2012 5359), wonach für Asylgesuche, die im Ausland vor dem Inkrafttreten der Änderung vom 28. September 2012 gestellt worden sind, die Art. 12, 19, 20, 41, 52 und 68 AsylG in der bisherigen Fassung Geltung haben. Nachfolgend wird deshalb auf die ge­nannten Normen des AsylG und die entsprechenden Ausführungsbestim­mungen in dieser bisherigen Fassung verwiesen.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1.4</w:t>
      </w:r>
    </w:p>
    <w:p>
      <w:r>
        <w:t>Bei der vorliegenden Beschwerde handelt es sich um eine sogenannte "Laienbeschwerde", an die keine hohen formellen Anforderungen zu stellen sind. Auf die frist- und soweit formgerecht eingereichte Beschwerde ist somit einzutreten (Art. 105 und 108 Abs. 1 AsylG;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aArt. 19 Abs. 1 AsylG im Ausland bei ei­ner schweizerischen Vertretung gestellt werden, die es mit einem Bericht an das BFM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w:t>
      </w:r>
    </w:p>
    <w:p>
      <w:r>
        <w:rPr>
          <w:b/>
        </w:rPr>
        <w:t>E. 4.2</w:t>
      </w:r>
    </w:p>
    <w:p>
      <w:r>
        <w:t>Vor dem Hintergrund der massgeblichen Praxis zur Behandlung von Asylgesuchen aus dem Ausland sowie unter Berücksichtigung der gesamten Aktenlage ist festzuhalten, dass in der vorliegenden Sache auf ei­ne Befragung des Beschwerdeführers verzichtet werden durfte und mit der Einladung zur Stellungnahme den verfahrensrechtlichen Anforderungen Genüge getan wurde (vgl. BVGE 2007/30 E. 5.8).</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 Das BFM kann ein im Ausland gestelltes Asylgesuch ablehnen, wenn es der asylsuchenden Person zugemutet werden kann, sich in einem anderen Staat um Aufnahme zu bemühen (aArt. 52 Abs. 2 AsylG).</w:t>
      </w:r>
    </w:p>
    <w:p>
      <w:r>
        <w:rPr>
          <w:b/>
        </w:rPr>
        <w:t>E. 5.2</w:t>
      </w:r>
    </w:p>
    <w:p>
      <w:r>
        <w:t>Nach aArt. 20 Abs. 2 AsylG bewilligt das Bundesamt einer asylsu-chenden Person die Einreise in die Schweiz zur Abklärung des Sachver-halts, wenn ihr nicht zugemutet werden kann, im Wohnsitz- oder Aufent-haltsstaat zu bleiben oder in ein anderes Land auszureisen. Bei diesem Entscheid rechtfertigt es sich, die Voraussetzungen restriktive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 zugemutet wer-den kann (vgl. BVGE 2011/10 E. 3.3, mit weiteren Hinweisen).</w:t>
      </w:r>
    </w:p>
    <w:p>
      <w:r>
        <w:rPr>
          <w:b/>
        </w:rPr>
        <w:t>E. 6.1</w:t>
      </w:r>
    </w:p>
    <w:p>
      <w:r>
        <w:t>Die Vorinstanz stellte mit der angefochtenen Verfügung fest, den Akten könnten keine glaubhaft dargelegten Anhaltspunkte entnommen werden, die den Schluss zuliessen, dass der Beschwerdeführer im Zeitpunkt der Ausreise aus Äthiopien durch "einreiserelevante Nachteile" bedroht gewesen sei. Insgesamt würden keine realitätsnahen Ausführungen noch irgendwelche Beweismittel vorliegen, welche die behaupteten Ereignisse plausibel machen würden. Seine Aussagen - insbesondere diejenigen über die Ereignisse, welche ihn zur Ausreise veranlasst hätten - seien äusserst vage und unsubstanziiert geblieben. Seine Schilderungen zu den Gründen und Umständen seiner Ausreise seien sehr allgemein ausgefallen und würden sich in wenigen kurzen, stereotypen Sätzen erschöpfen. Sie würden eine subjektiv geprägte Wahrnehmung vermissen lassen, so dass seine Darlegungen als offensichtlich unglaubhaft zu taxieren seien. Insbesondere würde es ihnen an vertiefter Substanz sowie einer authentischen und erlebnisgeprägten Nacherzählung fehlen, die von ihm zu erwarten gewesen wäre, wenn er das Geschilderte tatsächlich erlebt hätte. Seine Darlegungen würden jeglicher Realitätsmerkmale entbehren, was bei einer Person nicht der Fall wäre, die selbst Erlebtes wiedergebe. Ausserdem sei nicht zu erwarten, dass er bei einem Verbleib im Sudan mit beachtlicher Wahrscheinlichkeit und in absehbarer Zukunft von einer "einreisebeachtlichen Verfolgung" betroffen sei. Der Vollständigkeitshalber sei zu erwähnen, dass er sich bereits seit fünf Jahren im Sudan aufhalte. Die Hürden für eine zumutbare Existenz in Khartum scheine daher offensichtlich nicht unüberwindbar. Im Falle ernsthafter Schwierigkeiten sei es ihm zuzumuten, den Schutz des im Sudan operierenden UNHCR oder die Unterstützung der grossen äthiopischen Diaspora in An­spruch zu nehmen.</w:t>
      </w:r>
    </w:p>
    <w:p>
      <w:r>
        <w:rPr>
          <w:b/>
        </w:rPr>
        <w:t>E. 6.2</w:t>
      </w:r>
    </w:p>
    <w:p>
      <w:r>
        <w:t>Mit Beschwerdeschrift hielt der Beschwerdeführer der vorinstanzlichen Verfügung folgende Vorbringen entgegen: Erstens fürchte er täglich und überall, vom äthiopischen Sicherheitsdienst verfolgt zu werden. Es würde ihm daher verwehrt bleiben, ein soziales Leben aufzubauen, und er sei gezwungen, wie ein wildes Tier zu leben. Zweitens würde er, da ihn der äthiopische Sicherheitsdienst nun sogar im Sudan verfolge, nicht ein­mal mehr dort einen sicheren Ort vorfinden. Drittens seien die Lebensbedingungen im Sudan sehr schlecht. Er habe weder Arbeit noch Unterstützung. Aufgrund der fehlenden Sicherheit und der schlechten Lebensbedingungen beabsichtige er, nach Ägypten zu flüchten. Aus den genannten Gründen ersuche er um eine zügige Erledigung seines Gesuches.</w:t>
      </w:r>
    </w:p>
    <w:p>
      <w:r>
        <w:rPr>
          <w:b/>
        </w:rPr>
        <w:t>E. 7.1</w:t>
      </w:r>
    </w:p>
    <w:p>
      <w:r>
        <w:t>Die Überprüfung der Akten ergibt, dass der Entscheid des BFM in allen Teile zu stützen ist. Um Wiederholungen zu vermeiden, kann auf die zutreffenden Erwägungen in der angefochtenen Verfügung verwiesen werden (vgl. vorstehend E. 6.1). Die Beschwerde vermag der Begründung der angefochtenen Verfügung nichts Substantielles entgegenzuhalten. Das Bundesverwaltungsgericht beschränkt sich daher auf die Ausführungen in den nachstehenden Erwägungen.</w:t>
      </w:r>
    </w:p>
    <w:p>
      <w:r>
        <w:rPr>
          <w:b/>
        </w:rPr>
        <w:t>E. 7.2</w:t>
      </w:r>
    </w:p>
    <w:p>
      <w:r>
        <w:t>Die Erklärung des Beschwerdeführers während des erstinstanzlichen Verfahrens, er sei im Jahr 2009 wegen eines politischen Vorfalls aus Äthiopien geflüchtet, genügt nicht, um eine aktuelle Gefährdung im Sinne von Art. 3 AsylG glaubhaft darzulegen, zumal eine weiterführende Konkretisierung gänzlich fehlt. Nicht ersichtlich ist, was vorgefallen und inwiefern er individuell und konkret gefährdet sein sollte. Seine Befürchtung, getötet und verhaftet zu werden, ist objektiv nicht nachvollziehbar. Desgleichen fehlt es den auf Beschwerdeebene geltend gemachten Vorbringen, er werde nun auch im Sudan verfolgt, an Substanz. Eine konkrete Beschreibung der Verfolgung blieb aus, so dass eine Beurteilung derselben nicht vorgenommen werden kann. Aufgrund der vorliegenden Fakten ist eine asylrelevante Gefährdung somit nicht glaubhaft dargelegt worden. An dieser Beurteilung vermögen auch die eingereichten Dokumente nichts zu ändern, da sie keine persönliche Verfolgung des Beschwerdeführers belegen.</w:t>
      </w:r>
    </w:p>
    <w:p>
      <w:r>
        <w:rPr>
          <w:b/>
        </w:rPr>
        <w:t>E. 7.3</w:t>
      </w:r>
    </w:p>
    <w:p>
      <w:r>
        <w:t>In der Folge erübrigt sich die Prüfung der Frage, ob es dem Beschwerdeführer zugemutet werden kann, sich im Sudan um eine Aufnah­me zu bemühen. In Ergänzung dazu kann dennoch festgehalten werden, dass auch diesbezüglich die Erwägungen der Vorinstanz - der Beschwer­deführer halte sich bereits seit fünf Jahren im Sudan auf, weshalb die Hürde für eine zumutbare Existenz in Khartum für ihn offensichtlich nicht unüberwindbar sei, und es ihm zuzumuten wäre, bei ernsthaften Schwierigkeiten die Unterstützung des UNHCR in Anspruch zu nehmen - zu be­stätigen sind.</w:t>
      </w:r>
    </w:p>
    <w:p>
      <w:r>
        <w:rPr>
          <w:b/>
        </w:rPr>
        <w:t>E. 7.4</w:t>
      </w:r>
    </w:p>
    <w:p>
      <w:r>
        <w:t>Gesamthaft betrachtet ist die Schutzbedürftigkeit des Beschwerdeführers im Sinne von aArt. 20 AsylG i.V.m. Art. 3 AsylG nicht gegeben, weshalb die Voraussetzungen für die Erteilung einer Einreisebewilligung zur Abklärung des Sachverhalts (beziehungsweise zur Durchführung des ordentlichen Asylverfahrens) nicht erfüllt sind. Das BFM hat dem Beschwer­deführer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