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D-6279/2013 vom 17. März 2014</w:t>
      </w:r>
    </w:p>
    <w:p>
      <w:r>
        <w:t>Bundesverwaltungsgericht, 2014-03-17, DE</w:t>
      </w:r>
    </w:p>
    <w:p>
      <w:r>
        <w:rPr>
          <w:b/>
        </w:rPr>
        <w:t xml:space="preserve">Quelle: </w:t>
      </w:r>
      <w:r>
        <w:t>https://mcp.opencaselaw.ch/entscheid/bvger_D-6279_2013</w:t>
      </w:r>
    </w:p>
    <w:p>
      <w:r>
        <w:t>FR: TAF D-6279/2013 du 17 mars 2014</w:t>
      </w:r>
    </w:p>
    <w:p>
      <w:r>
        <w:t>IT: TAF D-6279/2013 del 17 marzo 2014</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Ein Zuweisungsentscheid des Bundesamts ist eine selbständig anfechtbare Zwischenverfügung (Art. 107 Abs. 1 letzter Satz AsylG i.V.m. Art. 27 Abs. 3 AsylG) und kann gemäss Art. 27 Abs. 3 letzter Satz AsylG - welcher als lex specialis der allgemeinen Regel von Art. 106 Abs. 1 AsylG vorgeht (Art. 106 Abs. 2 AsylG) - in materieller Hinsicht nur mit der Begründung angefochten werden, er verletze den Grundsatz der Einheit der Familie (vgl. BVGE 2008/47 E. 1.2 S. 672).</w:t>
      </w:r>
    </w:p>
    <w:p>
      <w:r>
        <w:rPr>
          <w:b/>
        </w:rPr>
        <w:t>E. 1.4</w:t>
      </w:r>
    </w:p>
    <w:p>
      <w:r>
        <w:t>Zwischenverfügungen sind innerhalb von zehn Tagen ab deren Eröffnung anzufechten (Art. 108 Abs. 1 AsylG). Die angefochtene Verfügung ist den Beschwerdeführenden frühestens am 29. Oktober 2013 eröffnet worden. Am 5. November 2013 ging beim BFM die dagegen erhobene Beschwerde ein, welche am 7. November 2013 zuständigkeitshalber ans Bundesverwaltungsgericht überwiesen und am 8. November 2013 bei diesem einging. Die Beschwerde ist demnach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Gemäss Art. 27 Abs. 3 AsylG weist das BFM die Asylsuchenden den Kantonen zu und trägt dabei den schützenswerten Interessen der Asylsuchenden sowie der Kantone Rechnung. Gemäss Art. 22 Abs. 1 AsylV 1 berücksichtigt das BFM dabei bereits in der Schweiz lebende Familienangehörige und die Staatsangehörigkeit Asylsuchender sowie besonders betreuungsintensive Fälle. Die Verteilung erfolgt nach einem Schlüssel gemäss Art. 21 AsylV 1. Nach Art. 22 Abs. 2 AsylV 1 wird ein Kantonswechsel vom BFM nur bei Zustimmung beider Kantone, bei Anspruch auf Einheit der Familie oder bei schwerwiegender Gefährdung der asylsuchenden Person oder anderer Personen verfügt.</w:t>
      </w:r>
    </w:p>
    <w:p>
      <w:r>
        <w:rPr>
          <w:b/>
        </w:rPr>
        <w:t>E. 3.1</w:t>
      </w:r>
    </w:p>
    <w:p>
      <w:r>
        <w:t>Die Beschwerdeführenden rügen zunächst implizit eine Verlet­zung des An­spruchs auf rechtliches Gehör, indem sie darauf hinweisen, dass der Bruder des Beschwerdeführers bereits bei der Stellung der Asylgesuche im EVZ F.______ anwesend war und eine mündliche Erklärung be­treffend die Aufnahme der Beschwerdeführenden bei sich abgegeben habe, was indessen von der Vorinstanz nicht berücksichtigt worden sei (vgl. act. A3/1 und A10/1). Demnach wird in formeller Hinsicht zunächst eine Verletzung der Pflicht des BFM zur sorgfältigen und ernsthaf­ten Prüfung der Vorbringen in Zusammenhang mit dem in G.______ wohnhaften Bruder sowie hinsichtlich der diesbezüglichen Be­gründung der angefochtenen Verfügung geltend gemacht.</w:t>
      </w:r>
    </w:p>
    <w:p>
      <w:r>
        <w:rPr>
          <w:b/>
        </w:rPr>
        <w:t>E. 3.2</w:t>
      </w:r>
    </w:p>
    <w:p>
      <w:r>
        <w:t>Diese beiden Teilgehalte des rechtlichen Gehörs legen der Behör­de die Pflicht auf, die Vorbringen eines Gesuchstellers einerseits nicht nur entgegenzunehmen, sondern diese auch wirklich zu hören, sorg­fältig zu prüfen und in der Entscheidfindung zu berücksichtigen - was gewissermassen das Kernstück des rechtlichen Gehörs ausmacht (vgl. Müller, a.a.O., S. 523; BGE 123 I 31 E. 2c) -, und andererseits dem Gesuchsteller gegenüber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Ent­scheide und Mitteilungen der Schweizerischen Asylrekurskommission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BGE 112 Ia 107 E. 2b; Lorenz Kneubühler, Die Begründungspflicht. Eine Untersuchung über die Pflicht der Behörden zur Begründung ihrer Entscheide, Bern u.a. 1998, S. 29 ff. und 194 f.; Müller, a.a.O., S. 539 f.).</w:t>
      </w:r>
    </w:p>
    <w:p>
      <w:r>
        <w:rPr>
          <w:b/>
        </w:rPr>
        <w:t>E. 3.3</w:t>
      </w:r>
    </w:p>
    <w:p>
      <w:r>
        <w:t>Es stellt sich damit die Frage, ob das BFM diesen Anforderungen im vorliegenden Fall gerecht geworden ist.</w:t>
      </w:r>
    </w:p>
    <w:p>
      <w:r>
        <w:rPr>
          <w:b/>
        </w:rPr>
        <w:t>E. 3.3.1</w:t>
      </w:r>
    </w:p>
    <w:p>
      <w:r>
        <w:t>Aus den Akten ergibt sich, dass die Be­schwerdeführenden am 22. Oktober 2013 bei der Stellung ihrer Asylge­suche im EVZ vom Bruder des Beschwerdeführers begleitet wurden, wel­cher sich seit dem Jahre (...) in der Schweiz auf­hält, mittlerweile die Schweizer Staatsbürgerschaft erworben hat und im Kanton G.______ wohnhaft ist. Des Weiteren ist offenbar spätestens seit diesem Zeitpunkt aktenkundig, dass der Beschwerdeführer dem Bruder (...) spenden wird (act. A6/11 S. 8), und der Bruder mündlich darum ersucht hat, dass die Beschwerdeführenden bei ihm untergebracht würden (vgl. act. A3/1 und A10/1). Die (...)spende wurden mit einem beim EVZ eingereichten Arztbericht von Dr. med. D.H. vom 21. Oktober 2013 belegt. Insgesamt besehen, waren demnach genügend Hinweise vorhanden, die auf ein Abhängigkeitsverhältnis zwischen dem Beschwerdeführer und seinem Bruder hindeuteten und welche, im vorliegenden Fall sehr wohl geeignet erscheinen, für die Zuteilung in einen bestimmten Kanton sprechen zu können.</w:t>
      </w:r>
    </w:p>
    <w:p>
      <w:r>
        <w:rPr>
          <w:b/>
        </w:rPr>
        <w:t>E. 3.3.2</w:t>
      </w:r>
    </w:p>
    <w:p>
      <w:r>
        <w:t>Die Begründung des BFM in seinem in der Folge erlassenen Zu­weisungsentscheid vom 29. Oktober 2013 lautet wie folgt: "Gestützt auf das Asylgesuch vom 22. Oktober 2013 und die Abklärungen im Emp­fangs- und Verfahrenszentrum, in Anwendung von Art. 27 AsylG und Art. 21 und 22 AsylV 1, sowie in der Erwägung, dass aus der Abklärung im Emp­fangs- und Verfahrenszentrum und nach erfolgter Rechtsbelehrung keine spezifischen schützenswerten Interessen des/der Asylbewerber/s/in ersichtlich sind, die für eine Zuweisung in einen bestimmten Kanton sprechen würden, verfügt das Bundesamt für Migration: 1. Der/die erwähnte/n Asylsuchende/n wird/werden dem Kanton (...) zugewiesen [...]".</w:t>
      </w:r>
    </w:p>
    <w:p>
      <w:r>
        <w:rPr>
          <w:b/>
        </w:rPr>
        <w:t>E. 3.3.3</w:t>
      </w:r>
    </w:p>
    <w:p>
      <w:r>
        <w:t>Diese Ausführungen vermögen angesichts der Sachlage des vorliegenden Falles den oben erwähnten Anforderungen an eine rechtsgenügliche Begründung nicht standzuhalten. Das Bundesamt hat mit seiner sche­matischen Begründung in keiner Weise zu erken­nen gegeben, inwie­weit es sich mit dem Antrag des Bruders des Beschwerdeführers auf Zuteilung in den Kanton G.______ kon­kret auseinander gesetzt und eine Prüfung der massgeblichen Kriteri­en der Einheit der Familie vorgenom­men hat. Auch wenn es sich bei der Frage der Kantonszuteilung ange­sichts des in zeitlicher Hinsicht lediglich vorübergehenden Charakters der Massnahme für die Dauer des Asylverfahrens nicht um einen er­heblichen Eingriff handelt, wäre im Rahmen der Entscheidbegründung zumindest eine einlässlichere Auseinandersetzung mit der Frage des Vorliegens eines allfälligen Abhängigkeitsverhältnisses notwendig ge­wesen, welche eine sorg-fältige und ernsthafte Prüfung der Vorbringen der Beschwerde-führenden belegt hätte. Der blosse Verweis auf die ange­wendeten gesetzlichen Bestimmungen im Rahmen einer Formularver­fügung - welcher zu genügen vermöchte, wenn weder die asylsuchen­de Person um Zuteilung in einen bestimmten Kanton ersucht noch sich aus den Akten Anhaltspunkte ergeben, die für eine konkrete Zuwei­sung sprechen würden -, ist jedenfalls als Begründung zu knapp (vgl. BVGE 2008/47 E. 3 S. 674 ff.)</w:t>
      </w:r>
    </w:p>
    <w:p>
      <w:r>
        <w:rPr>
          <w:b/>
        </w:rPr>
        <w:t>E. 3.3.4</w:t>
      </w:r>
    </w:p>
    <w:p>
      <w:r>
        <w:t>Bei dieser Sachlage ist festzustellen, dass das BFM den An­spruch der Beschwerdeführenden auf rechtliches Gehör verletzt hat. Die­ser Anspruch ist sodann formeller Natur, weshalb seine Verletzung grund­sätzlich ohne weiteres - das heisst ungeachtet der materiellen Auswir­kungen - zur Aufhebung des daraufhin ergangenen Entschei­des führt (vgl. BVGE 2008/14 E. 4.1 S. 185, BVGE 2007/30 E. 8.2 S. 371 m.w.H., BVGE 2007/27 E. 10.1 S. 332).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EMARK 1994 Nr. 1 E. 6b S. 15 ff. und 2004 Nr. 38 E. 7.1. S. 265, vom Bundes­ver­wal­tungsgericht be­stätigt in BVGE 2007/30 E. 8.2; im gleichen Sinne BVGE 2007/27 E. 10.1 S. 332, wobei gemäss diesem Entscheid eine Heilung die Ausnahme bleiben soll). Im vorliegenden Fall hat die Vor­instanz im Rahmen ih­rer Vernehm­lassung vom 17. Dezember 2013 die Be­gründung der angefoch­tenen Verfü­gung insoweit ergänzt, als sie aus­führte, dass ihr einer­seits die Famili­enverhältnisse der Beschwer­de­führenden im Zeit­punkt der Kan­tonszuteilung bekannt gewesen seien und andererseits ein Abhängig­keitsverhältnis des Beschwer­de­führers zu sei­nem in G.______ wohn­haften Bruder nicht ersichtlich sei, weshalb keine Not­wendigkeit be­standen habe, die Beschwerdeführenden dem Kanton G.______ zu­zuteilen. Angesichts dieser Ergänzung, der den Be­schwer­deführenden mit Verfügung vom 19. Dezember 2013 dazu gewährten Gelegenheit zur Stellung­nah­me - von welcher die Beschwerdeführenden nicht Gebrauch ge­macht haben - und unter Berücksichtigung der hin­sichtlich der Frage der Einheit der Familie vollen Kognition des Bun­des­verwaltungsgerichts kann daher der festgestellte Verfahrensmangel als geheilt erachtet werden, zumal der rechtserhebliche Sachverhalt er­stellt und somit die notwendige Entscheidreife gegeben ist.</w:t>
      </w:r>
    </w:p>
    <w:p>
      <w:r>
        <w:rPr>
          <w:b/>
        </w:rPr>
        <w:t>E. 3.4</w:t>
      </w:r>
    </w:p>
    <w:p>
      <w:r>
        <w:t>Nach dem Gesagten besteht keine Veranlassung, den Zuwei­sungsentscheid des BFM vom 29. Oktober 2013 aus formellen Gründen aufzuheben und die Sache zur Neubeurteilung an die Vor-instanz zu­rückzuweisen. Der Umstand, dass die angefochtene Verfügung im Zeitpunkt ihres Erlasses an einem Verfahrensmangel litt, wird indessen im Kosten- und Entschädigungspunkt zu berück-sichtigen sein (BVGE 2008/47 E. 5).</w:t>
      </w:r>
    </w:p>
    <w:p>
      <w:r>
        <w:rPr>
          <w:b/>
        </w:rPr>
        <w:t>E. 4.1</w:t>
      </w:r>
    </w:p>
    <w:p>
      <w:r>
        <w:t>Es bleibt im Folgenden zu prüfen, wie weit der Schutzbereich von Art. 27 Abs. 3 letzter Satz AsylG reicht und ob das BFM im vorliegenden Fall zu Recht eine schützenswerte Familieneinheit zwischen den Be­schwerdeführenden und dem Bruder des Beschwerdeführers verneint hat.</w:t>
      </w:r>
    </w:p>
    <w:p>
      <w:r>
        <w:rPr>
          <w:b/>
        </w:rPr>
        <w:t>E. 4.2</w:t>
      </w:r>
    </w:p>
    <w:p>
      <w:r>
        <w:t>Gemäss Rechtsprechung des Bundesverwaltungsgerichts wird der Begriff "Einheit der Familie" im Asylgesetz einheitlich verwendet und entspricht jenem Schutzbereich von Art. 8 der Konvention vom 4. November 1950 zum Schutze der Menschenrechte und Grundfreiheiten (EMRK, SR 0.101). Ehegatten, Konkubinatspartner und deren minderjährige Kinder sowie nahe Angehörige, soweit besondere Gründe (Art. 38 AsylV 1) vorliegen, mithin ein Abhängigkeitsverhältnis gegeben ist, fallen demnach in diesen Schutzbereich. Dieser Begriff der Einheit der Familie ist auch der Auslegung von Art. 27 Abs. 3 letzter Satz AsylG zugrunde zu legen (vgl. BVGE 2008/47 E. 4.1 S. 677 m.w.H.).</w:t>
      </w:r>
    </w:p>
    <w:p>
      <w:r>
        <w:rPr>
          <w:b/>
        </w:rPr>
        <w:t>E. 4.3</w:t>
      </w:r>
    </w:p>
    <w:p>
      <w:r>
        <w:t>Bei der Berufung auf den Grundsatz der Einheit der Familie im Sinne von Art. 27 Abs. 3 letzter Satz AsylG ist entweder die Anwesenheit eines Angehörigen der Kernfamilie der asylsuchenden Person oder - wenn dies nicht der Fall ist - ein Abhängigkeitsverhältnis gemäss der Rechtsprechung zu Art. 8 EMRK beziehungsweise Art. 51 Abs. 2 AsylG vorausgesetzt (vgl. BVGE 2008/47 E. 4.1.1 S. 677 f.; Urteil des Schweizerischen Bundesgerichts vom 24. Oktober 2002 [2A.187/2002] E. 1.2, BGE 120 Ib 257, 260 E. 1d und 1e, BGE 115 Ib 1, 5 E. 2c). Die Abhängigkeit eines Menschen von einem andern steht im Gegensatz zu seiner erlangten Selbständigkeit. Sie kann sich unabhängig vom Alter namentlich aus besonderen Betreuungs- oder Pflegebedürfnissen wie bei körperlichen oder geistigen Behinderungen und schwerwiegenden Krankheiten ergeben. Liegen keine solche Umstände vor, hängt sie regelmässig vom Alter beziehungsweise Entwicklungsstand der betreffenden Person ab (vgl. BGE 120 Ib 257, 261 E. 1e).</w:t>
      </w:r>
    </w:p>
    <w:p>
      <w:r>
        <w:rPr>
          <w:b/>
        </w:rPr>
        <w:t>E. 4.3.1</w:t>
      </w:r>
    </w:p>
    <w:p>
      <w:r>
        <w:t>Es ist unbestritten, dass die Beschwerdeführenden und der im Kanton G.______ wohnhafte Bruder des Beschwerdeführers keine Kernfamilie bilden, weshalb zu prüfen ist, ob die geschilderten Voraussetzungen, die für eine schützenswerte verwandtschaftliche Beziehung ausserhalb der Kernfamilie sprechen würden, erfüllt sind. Aufgrund der anstehenden (...)transplantation besteht zwischen dem Bruder H.______ und dem Beschwerdeführer zweifelsohne eine Art Abhängigkeitsverhältnis. Gemäss dem Arztbericht von Dr. med. D.H. vom 21. Februar 2014 sind die Abklärungen aus (...) Sicht abgeschlossen, wobei beim Beschwerdeführer noch eine (...) Untersuchung angezeigt ist. In etwa einem Monat könne ein Termin bei der Transplantationssprechstunde vereinbart und die Transplantation etwa 2 Monate später durchgeführt werden. Den eingereichten Arztberichten sind keine Hinweise darauf zu entnehmen, dass der Bruder nach erfolgter Transplantation weiterhin auf die Unterstützung des Beschwerdeführers angewiesen wäre. Das zwischen dem Beschwerdeführer und seinem Bruder bestehende Abhängigkeitsverhältnis ist demnach begrenzter und vorübergehender Natur, weshalb keine durch ein besonderes Abhängigkeitsverhältnis aufgrund einer Behinderung oder einer sonstigen erheblichen Fürsorgebedürftigkeit gekennzeichnete Beziehung ersichtlich ist. Soweit die Beschwerdeführenden vorbringen, es würde einiges erleichtern, wenn sie in der Nähe des Bruders wohnen würden, kann nicht davon gesprochen werden, sie seien notwendigerweise darauf angewiesen, in der Nähe von H.______ zu leben, um sich in der Schweiz zurechtzufinden. Den Beschwerdeführenden ist es auch, ohne im Aufenthaltskanton von H.______ zu wohnen, möglich, mit diesem Kontakte zu pflegen, sowie Rat und Unterstützung zu erhalten.</w:t>
      </w:r>
    </w:p>
    <w:p>
      <w:r>
        <w:rPr>
          <w:b/>
        </w:rPr>
        <w:t>E. 4.4</w:t>
      </w:r>
    </w:p>
    <w:p>
      <w:r>
        <w:t>Bei dieser Sachlage gelangt das Bundesverwaltungsgericht zum Schluss, dass ein im Rahmen von Art. 27 Abs. 3 letzter Satz AsylG be­achtliches Abhängigkeitsverhältnis der Beschwerdeführenden zu H.______ nicht besteht. Die angefochtene Verfügung verletzt daher den Grundsatz der Einheit der Familie nicht, weshalb die Beschwerde ab­zuweisen ist.</w:t>
      </w:r>
    </w:p>
    <w:p>
      <w:r>
        <w:rPr>
          <w:b/>
        </w:rPr>
        <w:t>E. 5.1</w:t>
      </w:r>
    </w:p>
    <w:p>
      <w:r>
        <w:t>Bei diesem Ausgang des Verfahrens wären die Kosten grundsätz­lich den Beschwerdeführenden aufzuerlegen (Art. 63 Abs. 1 VwVG). Wie obenstehend aufgezeigt, litt jedoch die angefochtene Verfügung im Zeitpunkt ihres Erlasses an einem Verfahrensmangel. Dieser Mangel wurde zwar angesichts der vom BFM im Rahmen der Vernehmlassung nachgereichten Ergänzung der Begründung der Verfügung auf Be­schwerde-ebene geheilt; aus dem Umstand, dass die Beschwerdefüh­renden nur durch das Ergreifen eines Rechtsmittels zu einem rechtskonfor­men Entscheid gelangt sind, darf ihnen jedoch kein finanzieller Nachteil erwachsen, weshalb in Anwendung von Art. 63 Abs. 1 in fine VwVG i.V.m. Art. 6 Bst. b des Reglements vom 21. Februar 2008 über die Kosten und Entschädigungen vor dem Bundesverwaltungsgericht (VGKE, SR 173.320.2) keine Kosten aufzuerlegen sind (vgl. EMARK 2003 Nr. 5). Der am 15. November 2013 zuhanden der Gerichtskasse geleistete Kostenvorschuss von Fr. 600.- ist den Beschwerdeführenden zurückzuerstatten.</w:t>
      </w:r>
    </w:p>
    <w:p>
      <w:r>
        <w:rPr>
          <w:b/>
        </w:rPr>
        <w:t>E. 5.2</w:t>
      </w:r>
    </w:p>
    <w:p>
      <w:r>
        <w:t>Den Beschwerdeführenden wäre vorliegend eine Parteientschädigung für die ihnen erwachsenen notwendigen und verhältnismässig hohen Kosten zuzusprechen (vgl. Art. 64 Abs. 1 VwVG i.V.m. Art. 37 VGG, Art. 7 des Reglements vom 21. Februar 2008 über die Kosten und Entschädigungen vor dem Bundesverwaltungsgericht [VGKE, SR 173.320.2]). Die Beschwerdeführenden sind vorliegend jedoch durch den Bruder des Beschwerdeführers vertreten, weshalb davon auszugehen ist, dass ihnen durch die Beschwerdeerhebung keine verhältnismässig hohen Kosten entstanden sind. Daher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