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D-6277/2013 vom 27. Mai 2014</w:t>
      </w:r>
    </w:p>
    <w:p>
      <w:r>
        <w:t>Bundesverwaltungsgericht, 2014-05-27, DE</w:t>
      </w:r>
    </w:p>
    <w:p>
      <w:r>
        <w:rPr>
          <w:b/>
        </w:rPr>
        <w:t xml:space="preserve">Quelle: </w:t>
      </w:r>
      <w:r>
        <w:t>https://mcp.opencaselaw.ch/entscheid/bvger_D-6277_2013</w:t>
      </w:r>
    </w:p>
    <w:p>
      <w:r>
        <w:t>FR: TAF D-6277/2013 du 27 mai 2014</w:t>
      </w:r>
    </w:p>
    <w:p>
      <w:r>
        <w:t>IT: TAF D-6277/2013 del 27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türkischer Staatsangehöriger kurdischer Ethnie sei. In den Jahren 2000 bis 2003 habe er sich als Asylsuchender in B._______ aufgehalten. Nachdem sein Gesuch abgelehnt worden sei, sei er in die Türkei zurückgeschafft worden. Dort sei er im Jahre 2010 nach Istanbul gezogen, da er Probleme mit dem Dorfvorsteher gehabt habe. Dieser habe ihn bei den Behörden als Mitglied der Partiya Karkerên Kurdistan (Arbeiterpartei Kurdistans - PKK) angezeigt. Das Verfahren gegen ihn sei jedoch eingestellt worden. Im Dezember 2012 sei er mit einem Schengen-Visum für drei Tage geschäftlich in C._______ gewesen. Im Februar 2013 habe ihn die türkische Polizei auf offener Strasse entführt, und unter Drohungen sowie Vorteilsversprechungen von ihm verlangt, zu gestehen, dass er ein Selbstmordattentäter sei. Als er sich geweigert habe, das Dokument zu unterschreiben, hätten die Polizisten ihn gefoltert. Er sei von der Polizei als Entführungsopfer ausgewählt worden, da sein Bruder im Jahre 1992 als PKK-Kämpfer gefallen sei. Am (...) sei mit einer Handgranate ein Anschlag auf ein Geschäft verübt worden. Da die Täterschaft nicht habe ermittelt werden können, hätten die Polizisten, welche ihn entführt hätten, die Tatbegehung ihm unterschieben wollen. Im April 2013 sei seine Wohnung von der Polizei gestürmt worden, so dass er sich danach versteckt bei einem Freund aufgehalten habe. Auch bei seinem jüngeren Bruder sei im April einmal nach ihm gesucht worden. Gegen ihn sei ein Strafverfahren eingeleitet worden und bei einer Rückkehr würde man ihn unverzüglich in Haft nehmen.</w:t>
      </w:r>
    </w:p>
    <w:p>
      <w:r>
        <w:rPr>
          <w:b/>
        </w:rPr>
        <w:t>E. 4.2</w:t>
      </w:r>
    </w:p>
    <w:p>
      <w:r>
        <w:t>Das BFM begründete seine Verfügung damit, die Vorbringen des Beschwerdeführers seien nicht glaubhaft. Sämtliche Schilderungen seien sub­stanz­arm ausgefallen und würden den Eindruck erwecken, dass er das Geschilderte nicht selbst erlebt habe. Auf mehrmalige Aufforderung hin sei es ihm nicht gelungen, das Erlebte in zeitlich rückwärts gerichteter Reihenfolge darzulegen, was auf ein Auswendiglernen hindeute. Zudem sei er einfachen Fragen ausgewichen. Sowohl die Entführung als auch die Folterungen seien oberflächlich und ohne Realkennzeichen geschildert worden. Nicht einmal das Datum der Entführung habe genannt werden können. Nicht plausibel sei ferner, dass der angebliche Grund für die Entführung bereits 20 Jahre zurückliege. Ohnehin verfüge der Beschwerdeführer über kein Profil, welches ihn in den Fokus der Behörden bringen könnte. Eine Entführung auf offener Strasse sei nicht nachvollziehbar, da ein solches Verhalten nicht der üblichen polizeilichen Vorgehensweise entspreche. Der Beschwerdeführer hätte dieses Fehlverhalten zur Anzeige bringen können. Dass ein Strafverfahren aufgrund einer falschen Anschuldigung eröffnet worden sei, sei realitätsfremd, da dies einer breit orchestrierten Verschwörung bedürfte, wofür vorliegend keine Anhaltspunkte vorlägen. Er habe zwar eine Verfahrensnummer angeben können, ohne jedoch genau zu wissen, von welcher Staatsanwaltschaft das Verfahren geleitet werde. Die angegebene Staatsanwaltschaft D._______ gebe es gemäss Erkenntnis des BFM nicht. Bezeichnenderweise wisse er nur vom Hörensagen von diesem Strafverfahren und es seien keine Beweismittel eingereicht worden. Die Stürmung und Durchsuchung seiner Wohnung sei unlogisch, da solchen Aktionen für gewöhnlich längere Vorbereitungshandlungen vorangehen würden. Im Übrigen habe der Beschwerdeführer auch dafür kein genaues Datum nennen können. Es könne auch nicht nachvollzogen werden, wieso die Polizei die Stürmung nach dem Vorfall (...) erst Anfang April vorgenommen habe. Die Ausführungen zum Visum und zum Reisepass, insbesondere die Erklärung, wieso er den Pass nicht mitgenommen habe, seien nicht schlüssig. Nachfragen bei den C._______ Behörden hätten zudem ergeben, dass der Beschwerdeführer über kein Schengen-Visum verfügt habe und sich im Jahre 2001 in C._______ aufgehalten habe, was von diesem jedoch verheimlicht worden sei. Ohnehin erwecke die stereotype und unlogische Schilderung des Reiseweges den Eindruck, dass er etwas zu verheimlichen versuche. Die plakativ und allgemein geäusserte Verfolgung der Volksgruppe der Kurden stelle lediglich einen Versuch dar, zusätzliche Gefährdungsmomente zu konstruieren, worauf daher nicht näher einzugehen sei.</w:t>
      </w:r>
    </w:p>
    <w:p>
      <w:r>
        <w:rPr>
          <w:b/>
        </w:rPr>
        <w:t>E. 4.3</w:t>
      </w:r>
    </w:p>
    <w:p>
      <w:r>
        <w:t>In der Beschwerde und der ergänzenden Eingabe vom 15. Januar 2014 wurde diesen Ausführungen entgegnet, dass die Argumentation des BFM in pauschaler Weise erfolgt sei und den tatsächlichen Gegebenheiten in der Türkei nicht gerecht werde. Das BFM sei von der Unglaubhaftigkeit des Strafverfahrens ausgegangen, obwohl der Beschwerdeführer sowohl den Ort als auch die verfahrensleitende Behörde habe benennen können. Diesbezüglich sei auch zu erwähnen, dass es auf der D._______ Seite von Istanbul sehr wohl eine Staatsanwaltschaft gebe. Das BFM habe somit vorschnell auf die Unglaubhaftigkeit dieses Sachverhaltselements geschlossen, ohne diesbezügliche leicht zugängliche Beweise abzunehmen. Dem türkischen Rechtsvertreter sei es nach hartnäckigen Bemühungen gelungen, eine Bestätigung des Ermittlungsverfahrens betreffend Beschädigung öffentlichen Eigentums zu erlangen. Das Ermittlungsverfahren erfolge unter dem türkischen Anti-Terror-Gesetz, was dazu geführt habe, dass das Verfahren zuständigkeitshalber zwischen den Staatsanwaltschaften hin- und hergeschoben worden sei, wodurch die Beschaffung des Bestätigungsschreibens einige Zeit in Anspruch genommen habe. Dem Beschwerdeführer drohe eine Haftstrafe von bis zu 18 Jahren.</w:t>
      </w:r>
    </w:p>
    <w:p>
      <w:r>
        <w:rPr>
          <w:b/>
        </w:rPr>
        <w:t>E. 4.4</w:t>
      </w:r>
    </w:p>
    <w:p>
      <w:r>
        <w:t>In der Vernehmlassung brachte das BFM vor, der Beschwerdeführer belege lediglich die Existenz einer Staatsanwaltschaft Istanbul D._______, wohingegen die Einleitung eines Strafverfahrens mit der Nummer (...) bis anhin nicht belegt worden sei. Der türkische Rechtsanwalt halte lediglich fest, dass er sich um Akten bemühe, was erstaune, da eine solche Abklärung üblicherweise nicht viel Zeit in Anspruch nehme. Es sei auch verwunderlich, dass keine Berichte über den angeblichen Bombenanschlag eingereicht worden seien.</w:t>
      </w:r>
    </w:p>
    <w:p>
      <w:r>
        <w:rPr>
          <w:b/>
        </w:rPr>
        <w:t>E. 4.5</w:t>
      </w:r>
    </w:p>
    <w:p>
      <w:r>
        <w:t>In der Replik wurde ausgeführt, das Strafverfahren sei an die örtlich und sachlich zuständige Staatsanwaltschaft überwiesen worden, wodurch es eine neue Verfahrensnummer erhalten habe. 5.1 In Übereinstimmung mit der Vorinstanz ist das Gericht der Ansicht, dass die Vorbingen des Beschwerdeführers unglaubhaft ausgefallen sind. Dabei kann auf die Ausführungen in der angefochtenen Verfügung verwiesen werden, die die Unsubstanziiertheit sowie die schwere Nachvollziehbarkeit der Aussagen aufzeigen. Detailarm ausgefallen ist trotz Nachfrage insbesondere die Schilderung der Entführung (...) 2013 (act. A12 F56 bis F72). Ebenfalls substanzarm sind die Vorbringen hinsichtlich der Hausdurchsuchung und des Zeitraums, welchen der Beschwerdeführer versteckt verbracht habe (act. A12 F42 bis F47). Die Aussagen, wieso er zwar seine Identitätskarte mitgenommen, den Pass aber zuhause gelassen habe, sind ausweichend und unlogisch (act. A12 F31 bis F36). Auch den Nachfragen hinsichtlich des Haftbefehls wich der Beschwerdeführer aus (act. A12 F6 bis F10). 5.2 Zu den eingereichten Beweismitteln gilt es zu bemerken, dass sich der Beschwerdeführer in der Anhörung auf Nachfrage, wieso er sich bisher nicht um diese bemüht habe, in Ausflüchten verlor (act. A12 F8 bis F12). Auf Beschwerdestufe wurde schliesslich eine handschriftlich verfasste Bestätigung eingereicht, welche eine andere Verfahrensnummer als die vom Beschwerdeführer ursprünglich angegebene trägt, was damit erklärt wurde, die verfahrensführende Staatsanwaltschaft habe geändert. Unklar ist dabei, wieso er anfangs des Verfahrens zwar eine Verfahrensnummer nennen, jedoch keine entsprechenden Dokumente einreichen konnte. Zum nunmehr eingereichten Bestätigungsschreiben ist zu bemerken, dass es sich dabei lediglich um eine handschriftlich verfasste Bestätigung handelt, und keine das Untersuchungsverfahren direkt betreffende Aktenstücke wie etwa Ermittlungsakten, ein Durchsuchungs- oder Haftbefehl eingereicht worden sind. Der Beweiswert der eingereichten Bestätigung ist daher gering und vermag daher die Feststellung der Unglaubhaftigkeit nicht umzustossen. Das BFM hat somit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Ausländergesetzes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die Zumutbarkeit des Wegweisungsvollzugs damit, dass der Beschwerdeführer jung und gesund sei, in der Türkei über Familienangehörige verfüge und daher keine Gründe ersichtlich seien, die gegen die Zumutbarkeit des Vollzugs sprächen.</w:t>
      </w:r>
    </w:p>
    <w:p>
      <w:r>
        <w:rPr>
          <w:b/>
        </w:rPr>
        <w:t>E. 7.6</w:t>
      </w:r>
    </w:p>
    <w:p>
      <w:r>
        <w:t>Diese Feststellung des BFM ist zu bestätigen, zumal den Akten keine Anhaltspunkte entnommen werden können, die auf eine konkrete Gefährdung und somit die Unzumutbarkeit einer Rückkehr hindeuten könnten. Zudem sind auf Beschwerdeebene keine substanziierten Einwände gegen die Ausführungen des BFM vorgebracht worden.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mit Beschwerde gestellte Gesuch um Gewährung der unentgeltlichen Rechtspflege gemäss Art. 65 Abs. 1 VwVG ist unter Hinweis auf die Zwischenverfügung vom 12. November 2013 wegen fehlenden Bedürftigkeitsnachweises abzuweisen. Somit sind die Kosten des Verfahrens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