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D-6273/2010 vom 19. Oktober 2010</w:t>
      </w:r>
    </w:p>
    <w:p>
      <w:r>
        <w:t>Bundesverwaltungsgericht, 2010-10-19, DE</w:t>
      </w:r>
    </w:p>
    <w:p>
      <w:r>
        <w:rPr>
          <w:b/>
        </w:rPr>
        <w:t xml:space="preserve">Quelle: </w:t>
      </w:r>
      <w:r>
        <w:t>https://mcp.opencaselaw.ch/entscheid/bvger_D-6273_2010</w:t>
      </w:r>
    </w:p>
    <w:p>
      <w:r>
        <w:t>FR: TAF D-6273/2010 du 19 octobre 2010</w:t>
      </w:r>
    </w:p>
    <w:p>
      <w:r>
        <w:t>IT: TAF D-6273/2010 del 19 ottobre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die englischsprachige Beschwerdeeingabe verständlich ist, so dass ohne weiteres darüber befunden werden kann. Der vorliegende Entscheid ergeht indessen in deutscher Sprache (Art. 33a Abs. 2 VwVG i.V.m. Art. 6 AsylG).</w:t>
      </w:r>
    </w:p>
    <w:p>
      <w:r>
        <w:rPr>
          <w:b/>
        </w:rPr>
        <w:t>E. 1.3</w:t>
      </w:r>
    </w:p>
    <w:p>
      <w:r>
        <w:t>Die Beschwerde ist demnach - mit Ausnahme des genannten, jedoch nicht als wesentlich erachteten Mangels (vgl. E. 1.2) -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3.2</w:t>
      </w:r>
    </w:p>
    <w:p>
      <w:r>
        <w:t>Vorliegend wurde der Beschwerdeführer von der schweizerischen Vertretung in Colombo nicht zu seinem Asylgesuch befragt. Er hat seine Vorbringen jedoch bereits in seinem Asylgesuch und dessen Ergänzung schriftlich dargelegt und dokumentiert, und erhielt danach mit Zwischenverfügung des BFM vom 15. April 2010 die Gelegenheit zur weiteren Konkretisierung seiner Asylgründe; gleichzeitig wurde ihm auch das rechtliche Gehör im Hinblick auf die in Erwägung gezogene Abweisung des Asylgesuchs gewährt. Er hat von seinem Recht auf Stellungnahme Gebrauch gemacht, und der entscheidwesentliche Sachverhalt erscheint - wie das BFM in der angefochtenen Verfügung zutreffend ausführt - angesichts der schriftlichen Darlegung und Dokumentierung der Asylgründe soweit erstellt, dass die entscheidrelevanten Elemente vorliegen. Das BFM hat den verfahrensrechtlichen Anforderungen damit Genüge getan.</w:t>
      </w:r>
    </w:p>
    <w:p>
      <w:r>
        <w:rPr>
          <w:b/>
        </w:rPr>
        <w:t>E. 3.3</w:t>
      </w:r>
    </w:p>
    <w:p>
      <w:r>
        <w:t>Der Beschwerdeführer hat in seinem Gesuch um Erteilung einer Einreisebewilligung auch seine Angehörigen (Ehefrau, unverheiratete Kinder, verheiratete Kinder mit deren Familien) angeführt, wobei er den diesbezüglichen Kreis in der Stellungnahme vom 7. Juni 2010 auf seine Ehefrau und einen unverheirateten Sohn einschränkte. Ob er damit auch für diese Personen um Asyl nachsuchen wollte, geht aus den Unterlagen nicht klar hervor. Da die Ehefrau und die Kinder, die gemäss den eingereichten Kopien der Geburtsurkunden volljährig sind, jedoch - falls gewünscht - selbst Asylgesuche einzureichen hätten, bezieht sich die vorliegende Verfügung des BFM vom 22. Juli 2010 zu Recht nur auf den Beschwerdeführer.</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w:t>
      </w:r>
    </w:p>
    <w:p>
      <w:r>
        <w:rPr>
          <w:b/>
        </w:rPr>
        <w:t>E. 5.1</w:t>
      </w:r>
    </w:p>
    <w:p>
      <w:r>
        <w:t>Bezüglich der vom Beschwerdeführer erwähnten Ereignisse aus den Jahren 1983 bis 1990 ist festzuhalten, dass für die Anerkennung der Flüchtlingseigenschaft zwischen den geltend gemachten Verfolgungsmassnahmen und der Ausreise aus dem Heimatland respektive der Stellung eines Asylgesuchs bei einer schweizerischen Vertretung im Ausland sowohl in zeitlicher als auch in sachlicher Hinsicht ein enger Zusammenhang bestehen muss (vgl. EMARK 1999 Nr. 7, EMARK 2000 Nr. 2, EMARK 2003 Nr. 8). Diese Anforderungen sind hinsichtlich dieser Ereignisse aus den Jahren 1983 bis 1990 nicht erfüllt. Diese können sowohl in zeitlicher - der Beschwerdeführer hat erst Mitte November 2007 bei der schweizerischen Vertretung in Colombo ein Asylgesuch eingereicht - als auch in sachlicher Hinsicht nicht mehr als fluchtauslösende Ereignisse betrachtet werden; unabhängig von der Prüfung deren asylrechtlicher Relevanz ist ihnen die flüchtlingsrechtliche Aktualität abzusprechen. Der Beschwerdeführer bezeichnete die betreffenden Ereignisse denn auch nicht als ausschlaggebend für die Asylgesuchseinreichung.</w:t>
      </w:r>
    </w:p>
    <w:p>
      <w:r>
        <w:rPr>
          <w:b/>
        </w:rPr>
        <w:t>E. 5.2</w:t>
      </w:r>
    </w:p>
    <w:p>
      <w:r>
        <w:t>Der Beschwerdeführer nannte vielmehr als eigentlichen Grund für die Asylgesuchseinreichung die Entführung und Lösegelderpressung im Dezember 2006 sowie die seither eingegangenen telefonischen Drohungen seitens unbekannter Dritter. Diesbezüglich erachtete das BFM den Beschwerdeführer als nicht schutzbedürftig im Sinne von Art. 3 AsylG. Dieser Einschätzung ist beizupflichten. Eine Verfolgung durch nichtstaatliche Akteure kann zwar flüchtlingsrechtlich relevant sein, dies setzt aber - aufgrund der Subsidiarität des flüchtlingsrechtlichen Schutzes - voraus, dass es der betroffenen Person nicht möglich ist, davor im Heimatland Schutz zu finden. Der staatliche Schutz ist dann als ausreichend zu qualifizieren, wenn die betroffene Person effektiv Zugang zu einer funktionierenden Infrastruktur hat und ihr deren Inanspruchnahme zumutbar ist, wobei von einem Staat nicht erwartet werden kann, dass er jederzeit präventiv in alle Lebensbereiche seiner Bürger eingreifen kann (vgl. EMARK 2006 Nr. 18). Soweit das Motiv der vorliegend geltend gemachten Übergriffe von Seiten unbekannter Dritter rein krimineller Natur ist - das Erlangen von Erpressungsgeldern - liegt keine asylrechtlich relevante Verfolgung im Sinne von Art. 3 AsylG vor, und der Beschwerdeführer ist diesbezüglich an die örtlichen Strafverfolgungsbehörden zu verweisen. Aber auch wenn den Übergriffen ein Verfolgungsmotiv im Sinne von Art. 3 AsylG zu Grunde liegen sollte (z. B. ethnisch motivierte Übergriffe), ist die Schutzbedürftigkeit des Beschwerdeführers zu verneinen, da grundsätzlich von einem wirksamen staatlichen Schutz auszugehen ist, und es dem Beschwerdeführer auch zuzumuten ist, sich an die bestehenden innerstaatlichen Schutzbehörden zu wenden. Es liegen keine Anhaltspunkte dafür vor, dass die heimatlichen Behörden nicht in der Lage oder nicht willens wären, dem Beschwerdeführer adäquaten Schutz vor Übergriffen Dritter zu bieten und die Verfolger bei entsprechender Anzeigeerstattung strafrechtlich zu verfolgen. Der Umstand, dass sich der Beschwerdeführer nicht an die örtlichen Polizeibehörden gewendet hat, kann nicht zur Annahme eines mangelnden Schutzwillens des sri-lankischen Staates führen. Aufgrund der Akten erweisen sich somit die vorinstanzlichen Erwägungen, wonach die Schutzbedürftigkeit des Beschwerdeführers im Sinne von Art. 3 AsylG zu verneinen sei, als zutreffend. Die Argumente in der Rechtsmitteleingabe sind nicht geeignet, eine Änderung der angefochtenen Verfügung herbeizuführen.</w:t>
      </w:r>
    </w:p>
    <w:p>
      <w:r>
        <w:rPr>
          <w:b/>
        </w:rPr>
        <w:t>E. 5.3</w:t>
      </w:r>
    </w:p>
    <w:p>
      <w:r>
        <w:t>Zusammenfassend ist festzustellen, dass es dem Beschwerdeführer nicht gelungen ist, eine aktuelle Gefährdung aus asylrechtlich relevanten Motiven aufzuzeigen, die die Bewilligung der Einreise in die Schweiz rechtfertigen würde. Die Schutzbedürftigkeit des Beschwerdeführers im Sinne von Art. 20 i.V.m. Art. 3 AsylG ist als nicht gegeben zu qualifizieren. Im Übrigen ist auch eine Beziehungsnähe des Beschwerdeführers zur Schweiz zu verneinen (Art. 52 Abs. 2 AsylG). Es erübrigt sich, auf die weiteren Vorbringen in der Beschwerde einzugehen, da diese am Ergebnis nichts zu ändern vermögen. Das BFM hat dem Beschwerdeführer zu Recht die Einreise in die Schweiz verweigert und das Asylgesuch abgelehnt.</w:t>
      </w:r>
    </w:p>
    <w:p>
      <w:r>
        <w:rPr>
          <w:b/>
        </w:rPr>
        <w:t>E. 6</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