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D-6270/2019 vom 13. Mai 2020</w:t>
      </w:r>
    </w:p>
    <w:p>
      <w:r>
        <w:t>Bundesverwaltungsgericht, 2020-05-13, DE</w:t>
      </w:r>
    </w:p>
    <w:p>
      <w:r>
        <w:rPr>
          <w:b/>
        </w:rPr>
        <w:t xml:space="preserve">Quelle: </w:t>
      </w:r>
      <w:r>
        <w:t>https://mcp.opencaselaw.ch/entscheid/bvger_D-6270_2019</w:t>
      </w:r>
    </w:p>
    <w:p>
      <w:r>
        <w:t>FR: TAF D-6270/2019 du 13 mai 2020</w:t>
      </w:r>
    </w:p>
    <w:p>
      <w:r>
        <w:t>IT: TAF D-6270/2019 del 13 maggio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ist im vorliegenden Verfahren die Frage, ob die Vorinstanz gemäss Art. 111c Abs. 1 Satz 1 AsylG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w:t>
      </w:r>
    </w:p>
    <w:p>
      <w:r>
        <w:rPr>
          <w:b/>
        </w:rPr>
        <w:t>E. 5.1</w:t>
      </w:r>
    </w:p>
    <w:p>
      <w:r>
        <w:t>In der Beschwerde werden formelle Rügen erhoben. Diese sind vorab zu beurteilen, da sie allenfalls geeignet wären, eine Kassation der vorinstanzlichen Verfügung zu bewirken.</w:t>
      </w:r>
    </w:p>
    <w:p>
      <w:r>
        <w:rPr>
          <w:b/>
        </w:rPr>
        <w:t>E. 5.2</w:t>
      </w:r>
    </w:p>
    <w:p>
      <w:r>
        <w:t>In der Beschwerdeschrift wird ausgeführt, das SEM habe die Begründungspflicht verletzt und den Sachverhalt unvollständig und unrichtig abgeklärt.</w:t>
      </w:r>
    </w:p>
    <w:p>
      <w:r>
        <w:rPr>
          <w:b/>
        </w:rPr>
        <w:t>E. 5.3</w:t>
      </w:r>
    </w:p>
    <w:p>
      <w:r>
        <w:t>Vorliegend ist weder auf eine Verletzung der Begründungspflicht (vgl. BVGE 2016/9 E. 5.1) noch auf eine unrichtige oder unvollständige Sachverhaltsfeststellung (vgl. BVGE 2016/2 E. 4.3) zu schliessen. In Bezug auf die Begründungspflicht gilt es anzumerken, dass das SEM in seiner Verfügung hinreichend darlegt, wieso es das Mehrfachgesuch für unzureichend begründet und den Wegweisungsvollzug für zulässig, zumutbar und möglich erachtet. Der Sachverhalt wurde vom SEM auch vollständig und richtig abgeklärt.</w:t>
      </w:r>
    </w:p>
    <w:p>
      <w:r>
        <w:rPr>
          <w:b/>
        </w:rPr>
        <w:t>E. 6</w:t>
      </w:r>
    </w:p>
    <w:p>
      <w:r>
        <w:t>Der Antrag in der Eingabe vom 18. Dezember 2019, wonach abzuklären sei, ob bei der Entführung einer schweizerischen Botschaftsmitarbeiterin am 25. November 2019 Daten des Beschwerdeführers respektive welche Daten im Allgemeinen erpresst worden seien, ist abzuweisen, zumal eine Verbindung des Beschwerdeführers zu dieser Botschaftsmitarbeiterin nicht substanziiert dargelegt wird.</w:t>
      </w:r>
    </w:p>
    <w:p>
      <w:r>
        <w:rPr>
          <w:b/>
        </w:rPr>
        <w:t>E. 7.1</w:t>
      </w:r>
    </w:p>
    <w:p>
      <w:r>
        <w:t>In seiner Verfügung erwog das SEM, dass die Ernennung des neuen Armeechefs und die in diesem Zusammenhang behaupteten erweiterten Machtkompetenzen des Militärs und der Sicherheitsbehörden in keinem Zusammenhang zur Person des Beschwerdeführers stünden. Auch die Ausführungen zur internationalen Blacklist, aus welcher sich eine erhöhte Gefährdung ergeben solle, würden dahingehend unbegründet bleiben, als dass kein Bezug zur Person des Beschwerdeführers festzustellen sei. Gleiches gelte für den angeblichen Informationsblackout zu den entlassenen und weiterhin inhaftierten Personen und die angeblich erhöhte Gefährdungslage aufgrund der bevorstehenden Präsidentschaftswahl. Hinsichtlich des Risikoprofils sei auf die Urteile des Bundesverwaltungsgerichts D-1393/2018 und D-2087/2019 zu verweisen. Das exilpolitische Engagement sei bereits Gegenstand der vorangehenden Verfahren gewesen und die diesbezüglichen Vorbringen und Beweismittel hätten schon vor dem letzten Urteil des Bundesverwaltungsgerichts bestanden, weshalb die funktionelle Prüfzuständigkeit beim Gericht liege.</w:t>
      </w:r>
    </w:p>
    <w:p>
      <w:r>
        <w:rPr>
          <w:b/>
        </w:rPr>
        <w:t>E. 7.2</w:t>
      </w:r>
    </w:p>
    <w:p>
      <w:r>
        <w:t>In der Beschwerdeschrift wird ausgeführt, die neusten Entwicklungen, welche im Mehrfachgesuch ausführlich dargelegt und dokumentiert worden seien, hätten zu einer markanten Erhöhung der Gefährdungslage für zurückkehrende abgewiesene Asylgesuchsteller geführt und würden folglich einen objektiven Nachfluchtgrund darstellen. Der Beschwerdeführer sei wegen seines Profils vor dem Hintergrund der veränderten Lage asylrelevant gefährdet. Ferner stelle sich das individuelle Profil des Beschwerdeführers durch Offenlegung seiner gesamten exilpolitischen Aktivitäten geschärft dar. Das SEM verkenne, dass diese Schärfung kumulativ zu den bisher dargelegten exilpolitischen Aktivitäten hätte beurteilt werden müssen.</w:t>
      </w:r>
    </w:p>
    <w:p>
      <w:r>
        <w:rPr>
          <w:b/>
        </w:rPr>
        <w:t>E. 8.1</w:t>
      </w:r>
    </w:p>
    <w:p>
      <w:r>
        <w:t>Das zentrale Beschwerdevorbringen, wonach im Mehrfachgesuch ein persönlicher Fallbezug zur aktuellen Lage in Sri Lanka dargelegt worden sei, weshalb das Gesuch nicht als unbegründet gelten dürfe, ist als nicht stichhaltig zu erachten. So wiederholt der Beschwerdeführer lediglich in geraffter Form bereits bekannte Sachverhaltselemente, die bereits im ordentlichen Asylverfahren als nicht glaubhaft respektive nicht asylrelevant erachtet worden sind. Daraus zieht er am Ende kurzerhand und ohne weitere Subsumption den Schluss, er sei aufgrund seines Profils gleich mehreren Risikogruppen zuzuordnen, obwohl mit Urteilen des Bundesverwaltungsgerichts D-1393/2018 vom 1. Februar 2019 und D-2087/2019 vom 2. Oktober 2019 rechtskräftig festgestellt wurde, dass er keiner asylrelevanten Gefährdung ausgesetzt sei. Demnach hat das SEM in zutreffender Weise das Erfordernis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8.2</w:t>
      </w:r>
    </w:p>
    <w:p>
      <w:r>
        <w:t>Das SEM ist ferner auf die Vorbringen zum exilpolitischen Engagement mangels funktioneller Zuständigkeit in Anwendung von Art. 9 Abs. 2 VwVG zu Recht nicht eingetreten.</w:t>
      </w:r>
    </w:p>
    <w:p>
      <w:r>
        <w:rPr>
          <w:b/>
        </w:rPr>
        <w:t>E. 8.3</w:t>
      </w:r>
    </w:p>
    <w:p>
      <w:r>
        <w:t>Aus den mit Eingabe vom 18. Dezember 2019 eingereichten Fotos, welche den Beschwerdeführer gemäss eigenen Angaben anlässlich der Gedenkfeier (...) zeigen würden, ergibt sich keine massgebliche Akzentuierung des exilpolitischen Engagements, zumal sich aus der blossen Teilnahme an einer Veranstaltung keine Exponierung ergibt. Auch daraus vermag der Beschwerdeführer somit keine asylrelevante Gefährdung abzuleiten.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Dies gilt auch unter Berücksichtigung der jüngsten politischen Entwicklungen in Sri Lanka sowie des Vorbringens auf Beschwerdeebene, es sei dem Umstand Rechnung zu tragen, dass nach Entführung einer Angestellten der schweizerischen Botschaft in Sri Lanka am 25. November 2019 zwischen der sri-lankischen und der schweizerischen Regierung eine diplomatische Krise ausgebrochen sei. Es besteht keinerlei Grund zur Annahme, die allgemeinen politischen Entwicklungen in Sri Lanka könnten sich zum heutigen Zeitpunkt auf den Beschwerdeführer auswirken. Dies gilt auch im Hinblick auf die erwähnten diplomatischen Unstimmigkeiten. Der Vollzug der Wegweisung ist folglich zulässig.</w:t>
      </w:r>
    </w:p>
    <w:p>
      <w:r>
        <w:rPr>
          <w:b/>
        </w:rPr>
        <w:t>E. 10.4</w:t>
      </w:r>
    </w:p>
    <w:p>
      <w:r>
        <w:t>Mit Urteil des Bundesverwaltungsgerichts D-2087/2019 vom 2. Oktober 2019 wurde der Vollzug der Wegweisung letztmals für zumutbar befunden. An dieser Einschätzung vermögen die aktuellen Ereignisse in Sri Lanka nichts zu ändern. Andere Gründe, welche gegen die Zumutbarkeit sprechen würden, wurden weder substanziiert geltend gemacht noch sind sie aus den Akten ersichtlich.</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von Fr. 1'500.-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