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D-626/2011 vom 27. Januar 2011</w:t>
      </w:r>
    </w:p>
    <w:p>
      <w:r>
        <w:t>Bundesverwaltungsgericht, 2011-01-27, DE</w:t>
      </w:r>
    </w:p>
    <w:p>
      <w:r>
        <w:rPr>
          <w:b/>
        </w:rPr>
        <w:t xml:space="preserve">Quelle: </w:t>
      </w:r>
      <w:r>
        <w:t>https://mcp.opencaselaw.ch/entscheid/bvger_D-626_2011</w:t>
      </w:r>
    </w:p>
    <w:p>
      <w:r>
        <w:t>FR: TAF D-626/2011 du 27 janvier 2011</w:t>
      </w:r>
    </w:p>
    <w:p>
      <w:r>
        <w:t>IT: TAF D-626/2011 del 27 gennaio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Abs. 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verpflichte sich die Schweiz, die Dublin-II-VO anzuwenden. Diese enthalte Kriterien, um denjenigen Dublin-Staat zu bestimmen, der zuständig sei, das Asyl- und Wegweisungsverfahren durchzuführen. Der Beschwerdeführer gebe zu Protokoll, dass er in Italien am 27. Januar 2010 ein Asylgesuch eingereicht habe. Dies werde durch den Abgleich der Fingerabdrücke mit der Zentraleinheit EURODAC bestätigt. Die italienischen Behörden hätten innerhalb der festgelegten Frist zum Übernahmeersuchen des BFM keine Stellung genommen. Somit sei gemäss DAA und unter Anwendung von Art. 20 Abs. 1 Bst. c Dublin-II-VO die Zuständigkeit, das Asyl- und Wegweisungsverfahren durchzuführen, am 27. Dezember 2010 auf Italien übergegangen. Die Überstellung nach Italien habe - vorbehältlich allfälliger Unterbrechungen oder Verlängerungen der Überstellungsfrist (Art. 19 f. Dublin-II-VO) - bis spätestens am 27. Juni 2011 zu erfolgen.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Italien. Weder die in Italien herrschende Situation noch andere Gründe sprächen gegen die Zumutbarkeit der Wegweisung in diesen Staat. Ausserdem sei der Vollzug der Wegweisung technisch möglich und praktisch durchführbar. Italien habe der Rückübernahme stillschweigend zugestimmt. Schliesslich hätten Beschwerden gegen Nichteintretensentscheide gemäss Art. 34 Abs. 2 Bst. d AsylG gestützt auf Art. 107a AsylG keine aufschiebende Wirkung.</w:t>
      </w:r>
    </w:p>
    <w:p>
      <w:r>
        <w:rPr>
          <w:b/>
        </w:rPr>
        <w:t>E. 5.3</w:t>
      </w:r>
    </w:p>
    <w:p>
      <w:r>
        <w:t>In der Rechtsmitteleingabe wurde als Begründung insbesondere geltend gemacht, die Vorinstanz habe mit dem Beschwerdeführer nur eine kurze Befragung durchgeführt. Zu seiner Situation in Italien habe sie ihm lediglich zwei Fragen gestellt. Zu ihrer Pflicht zur Abklärung des rechtserheblichen Sachverhalts hätte gehört, dass sie ihn einlässlich zu seinem Aufenthalt in Italien befragt hätte. Indem sie dies unterlassen habe, habe sie ihre Pflicht zur Erhebung des Sachverhalts vernachlässigt. Obwohl der Beschwerdeführer in der Befragung unmissverständlich ausgesagt habe, dass er in Italien unmenschlichen Verhältnissen ausgesetzt gewesen sei, habe sich die Vorinstanz in der angefochtenen Verfügung kaum mit diesem Sachverhalt auseinandergesetzt. Indem sie seine Aussagen nicht gewürdigt habe, habe die Vorinstanz das rechtliche Gehör verletzt. Zudem hätten die italienischen Behörden auf das schweizerische Rückübernahmeersuchen nicht geantwortet, weswegen von ihrer Seite keine Zusicherung vorliege, dass der Beschwerdeführer in ein reguläres Asylverfahren gelangen und Aufnahme in einer Unterkunft finden werde.</w:t>
      </w:r>
    </w:p>
    <w:p>
      <w:r>
        <w:rPr>
          <w:b/>
        </w:rPr>
        <w:t>E. 5.4.1</w:t>
      </w:r>
    </w:p>
    <w:p>
      <w:r>
        <w:t>Aus den Akten ergibt sich, dass sich der Beschwerdeführer im August 2009 nach Italien begab, wo er am 27. Januar 2010 ein Asylgesuch einreichte und sich bis zum 3. November 2010 aufhielt. Da das BFM die italienischen Behörden am 13. Dezember 2010 um Wiederaufnahme des Beschwerdeführers gemäss Art. 16 Abs. 1 Bst. c Dublin-II-VO ersuchte und diese die Frist zur Stellungnahme ungenutzt verstreichen liessen, liegt angesichts der Verfristung eine stillschweigende Zusage zur Rückübernahme des Beschwerdeführers gemäss Art. 20 Abs. 1 Bst. c Dublin-II-VO vor, weshalb der Beschwerdeführer somit ohne weiteres in den Dublin-Staat Italien ausreisen kann, welcher staatsvertraglich zuständig ist. An dieser Einschätzung ändern auch die in der Rechtsmittelschrift geäusserten Bedenken bezüglich der Lebendbedingungen in Italien (keine Unterkunft, keine Unterstützung, keine Arbeitsmöglichkeiten) nichts. Das Bundesverwaltungsgericht verkennt zwar nicht, dass Asylsuchende bei der Unterkunft, der Arbeit und dem Zugang zur Infrastruktur in Italien gewissen Schwierigkeiten ausgesetzt sein können. Italien ist aber unter anderem Signatarstaat der EMRK und des Übereinkommens vom 10. Dezember 1984 gegen Folter und andere grausame, unmenschliche oder erniedrigende Behandlung oder Strafe (FoK, SR 0.105) und es bestehen keine konkreten Hinweise dafür, dieses Land werde sich im vorliegenden Fall nicht an die aus diesen Übereinkommen resultierenden Verpflichtungen halten. Zudem kann auch auf die spezifischen völkerrechtlichen Verpflichtungen Italiens bezüglich der Betreuung von Asylsuchenden verwiesen werden, namentlich die EU-Richtlinie 2003/9/EG vom 27. Januar 2003 zur Festlegung von Mindestnormen für die Aufnahme von Asylbewerbern in den Mitgliedstaaten, zu deren Durchsetzung die EU-Länder auch entsprechende Rechtsmittel vorzusehen haben (vgl. Art. 21 der sogenannten Aufnahmerichtlinie). Gemäss Kenntnissen des Bundesverwaltungsgerichts nehmen überdies neben staatlichen Behörden auch private Hilfsorganisationen sich Dublin-Rückkehrenden an. Unter diesen Umständen sind daher keine konkreten Anhaltspunkte dafür ersichtlich, der Beschwerdeführer würde im Falle einer Rückkehr nach Italien in eine existenzbedrohende Notlage geraten. An dieser Beurteilung vermögen auch die mit der Rechtsmittelschrift eingereichten Berichte nichts zu ändern. Soweit in der Rechtsmittelschrift geltend gemacht wird, die Vorinstanz habe den rechtserheblichen Sachverhalt mangelhaft abgeklärt, indem sie den Beschwerdeführer nicht genügend zu seinem Aufenthalt in Italien befragt habe, ist nach Durchsicht der Akten festzustellen, dass das BFM seiner Untersuchungspflicht auch diesbezüglich in hinreichendem Masse nachgekommen ist und nicht gehalten war, den Sachverhalt in der vorliegenden Konstellation weiter zu ermitteln. Unbegründet ist auch die in der Beschwerde sinngemäss erhobenen Rüge, wonach die Vorinstanz das rechtliche Gehör verletzt habe, indem sie in der angefochtenen Verfügung mit unzureichender Begründung die Wegweisung beziehungsweise den Wegweisungsvollzug des Beschwerdeführers als zumutbar beurteilt habe, zumal sich das BFM bei der Begründung ihrer Verfügung auf die für den Entscheid wesentlichen Gesichtspunkte beschränkten durfte und nicht gehalten war, sich ausdrücklich mit jeder tatbeständlichen Behauptung auseinander zu setzen, zumal den Akten keine Hinweise auf eine besondere Verletzlichkeit des Beschwerdeführers entnommen werden können. Angesichts der gesamten Umstände erweist sich der Vollzug der Wegweisung nach Italien in Berücksichtigung der entscheidrelevanten Aspekte - insbesondere unter dem Blickwinkel von Art. 3 EMRK - als zulässig und zumutbar, weshalb vorliegend - entgegen der Behauptung des Beschwerdeführers in der Rechtsmittelschrift - kein Anlass zum Selbsteintritt besteht.</w:t>
      </w:r>
    </w:p>
    <w:p>
      <w:r>
        <w:rPr>
          <w:b/>
        </w:rPr>
        <w:t>E. 5.4.2</w:t>
      </w:r>
    </w:p>
    <w:p>
      <w:r>
        <w:t>Nach dem Gesagten erübrigt es sich, auf die Ausführungen und Einwände in der Beschwerde beziehungsweise die eingereichten Beweismittel im Einzelnen weiter einzugehen, da sie am Ergebnis nichts ändern können. Das BFM ist in Anwendung von Art. 34 Abs. 2 Bst. d AsylG demnach zu Recht auf das Asylgesuch des Beschwerdeführers nicht eingetreten.</w:t>
      </w:r>
    </w:p>
    <w:p>
      <w:r>
        <w:rPr>
          <w:b/>
        </w:rPr>
        <w:t>E. 6.1</w:t>
      </w:r>
    </w:p>
    <w:p>
      <w:r>
        <w:t>Das Nichteintreten auf ein Asylgesuch hat in der Regel die Weg­weisung aus der Schweiz zur Folge (Art. 44 Abs. 1 AsylG). Vorliegend ist keine Ausnahme von diesem Grundsatz ersichtlich (vgl. Entscheide des Schweizerischen Bundesverwaltungsgerichts [BVGE] 2008/34 E. 9.2). In Verfahren nach Art. 34 Abs. 2 Bst. d AsylG ist die Frage nach der Zulässigkeit und Möglichkeit des Wegweisungsvollzugs regelmässig bereits Voraussetzung (und nicht erst Regelfolge) des Nichteintretensentscheids. Auf die Frage einer drohenden Verletzung des Non-Refoulement-Gebots muss daher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sogenannten Humanitären Klausel (Art. 15 Dublin-II-VO).</w:t>
      </w:r>
    </w:p>
    <w:p>
      <w:r>
        <w:rPr>
          <w:b/>
        </w:rPr>
        <w:t>E. 6.3</w:t>
      </w:r>
    </w:p>
    <w:p>
      <w:r>
        <w:t>Nach dem Gesagten sind die vom BFM verfügte Wegweisung und deren Vollzug nach Italien zu bestätigen.</w:t>
      </w:r>
    </w:p>
    <w:p>
      <w:r>
        <w:rPr>
          <w:b/>
        </w:rPr>
        <w:t>E. 7</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w:t>
      </w:r>
    </w:p>
    <w:p>
      <w:r>
        <w:rPr>
          <w:b/>
        </w:rPr>
        <w:t>E. 8</w:t>
      </w:r>
    </w:p>
    <w:p>
      <w:r>
        <w:t>Mit dem Urteil in der Hauptsache sind die Gesuche um Verzicht auf die Erhebung eines Kostenvorschusses und um Erteilung der aufschiebenden Wirkung der Beschwerde gegenstandslos geworden.</w:t>
      </w:r>
    </w:p>
    <w:p>
      <w:r>
        <w:rPr>
          <w:b/>
        </w:rPr>
        <w:t>E. 9.1</w:t>
      </w:r>
    </w:p>
    <w:p>
      <w:r>
        <w:t>Aufgrund vorstehender Erwägungen erweist sich die Beschwerde als aussichtslos, weshalb das Gesuch um Gewährung der unentgeltlichen Rechtspflege im Sinne von Art. 65 Abs. 1 VwVG, unbesehen der Bedürftigkeit des Beschwerdeführers, vollumfänglich abzuweisen ist.</w:t>
      </w:r>
    </w:p>
    <w:p>
      <w:r>
        <w:rPr>
          <w:b/>
        </w:rPr>
        <w:t>E. 9.2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