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D-6269/2024 vom 12. November 2024</w:t>
      </w:r>
    </w:p>
    <w:p>
      <w:r>
        <w:t>Bundesverwaltungsgericht, 2024-11-12, DE</w:t>
      </w:r>
    </w:p>
    <w:p>
      <w:r>
        <w:rPr>
          <w:b/>
        </w:rPr>
        <w:t xml:space="preserve">Quelle: </w:t>
      </w:r>
      <w:r>
        <w:t>https://mcp.opencaselaw.ch/entscheid/bvger_D-6269_2024</w:t>
      </w:r>
    </w:p>
    <w:p>
      <w:r>
        <w:t>FR: TAF D-6269/2024 du 12 novembre 2024</w:t>
      </w:r>
    </w:p>
    <w:p>
      <w:r>
        <w:t>IT: TAF D-6269/2024 del 12 novembre 2024</w:t>
      </w:r>
    </w:p>
    <w:p>
      <w:pPr>
        <w:pStyle w:val="Heading2"/>
      </w:pPr>
      <w:r>
        <w:t>Regeste</w:t>
      </w:r>
    </w:p>
    <w:p>
      <w:r>
        <w:t>Vollzug der Wegweisung (Wiedererwägung)</w:t>
      </w:r>
    </w:p>
    <w:p>
      <w:pPr>
        <w:pStyle w:val="Heading2"/>
      </w:pPr>
      <w:r>
        <w:t>Erwägungen</w:t>
      </w:r>
    </w:p>
    <w:p>
      <w:r>
        <w:rPr>
          <w:b/>
        </w:rPr>
        <w:t>E. 3</w:t>
      </w:r>
    </w:p>
    <w:p>
      <w:r>
        <w:t>und 4 in Georgien tätigte und ihrer Begründungspflicht hinreichend nach- kam, wobei diesbezüglich auf die umfangreichen vorinstanzlichen Ausfüh- rungen zu verweisen ist, dass die Vorinstanz mithin den Sachverhalt vollständig und richtig fest- stellte, weshalb der Antrag um Rückweisung zur Sachverhaltserstellung und Neubeurteilung abzuweisen ist und das Verfahren sich als spruchreif erweist, dass die Vorinstanz zur Begründung ihres Entscheids im Wesentlichen ausführte, sowohl der Beschwerdeführer 3 als auch der Beschwerdefüh- rer 4 hätten in der Schweiz eine (…) erhalten, die bereits begonnene Phy- siotherapie könne auch in Georgien fortgesetzt werden und sollten sie schliesslich weitere Behandlungen benötigen, könnten sie solche auch in Georgien erhalten, weshalb nach einer Rückkehr dorthin weder beim Be- schwerdeführer 3 noch beim Beschwerdeführer 4 von einer drohenden Verschlechterung des Gesundheitszustandes auszugehen sei, dass die Beschwerdeführenden in der Beschwerde sowie den Schreiben vom 11. Oktober 2024 und 6. November 2024 entgegneten, die weitere Behandlung des Beschwerdeführers 3 in Georgien sei nicht möglich, ins- besondere gebe es in Georgien kein Fachgebiet für Neuro-Urologie, und bei fehlender Behandlung drohe ein Rückfall bis hin zur Umkehr der mit der Operation erreichten Verbesserung, was zu einer raschen und lebens- gefährdenden Beeinträchtigung von dessen Gesundheitszustand führen könne, dass die Vorbringen der Beschwerdeführenden die überzeugenden vor- instanzlichen Ausführungen nicht zu entkräften vermögen, zumal gestützt auf die vorliegenden Akten nicht damit zu rechnen ist, der Gesundheitszu- stand des Beschwerdeführers 3 würde bei einer Rückkehr rasch und le- bensgefährdend beeinträchtigt werden, dass das Gericht vielmehr in Übereinstimmung mit der Vorinstanz davon ausgeht, dass die notwendigen Behandlungen des Beschwerdeführers 3 auch in Georgien möglich sein werden und daran auch der äusserst kurze</w:t>
      </w:r>
    </w:p>
    <w:p>
      <w:r>
        <w:t>D-6269/2024 Seite 6 und nicht weiter begründete Hinweis auf das «Fehlen eines Fachgebietes Neuro-Urologie» von Dr. med. E._______ nichts zu ändern vermag, dass auch ein weiterer Bericht der neuro-urologischen Abteilung der (…) nichts ändern dürfte, weshalb in antizipierter Beweiswürdigung davon ab- gesehen werden kann, dieses Beweismittel abzuwarten, dass somit keine nachträglich eingetretene erhebliche Veränderung der Sachlage zu bejahen ist, weshalb keine Gründe vorliegen, die eine Wie- dererwägung der Verfügung vom 22. November 2023 rechtfertigen würden und die Vorinstanz das Wiedererwägungsgesuch zurecht abgewiesen so- wie ihre Verfügung vom 22. November 2023 als rechtskräftig und voll- streckbar bezeichnet hat, dass nach vorstehenden Erwägungen die angefochtene Verfügung zu be- stätigen und die Beschwerde vom 3. Oktober 2024 als offensichtlich unbe- gründet abzuweisen ist, dass bei diesem Ausgang des Verfahrens die Kosten des Verfahrens den Beschwerdeführenden aufzuerlegen sind (Art. 63 Abs. 1 VwVG), dass die Kosten bei vorliegender Verfahrenskonstellation praxisgemäss auf Fr. 1'500.– festzusetzen sind (Art. 1-3 des Reglements vom 21. Februar 2008 über die Kosten und Entschädigungen vor dem Bundesverwaltungs- gericht [VGKE, SR 173.320.2]), dass der am 28. Oktober 2024 in gleicher Höhe geleistete Kostenvor- schuss zur Bezahlung der Verfahrenskosten zu verwenden ist.</w:t>
      </w:r>
    </w:p>
    <w:p>
      <w:r>
        <w:t>(Dispositiv nächste Seite)</w:t>
      </w:r>
    </w:p>
    <w:p>
      <w:r>
        <w:t>D-6269/2024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