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D-6268/2019 vom 24. März 2020</w:t>
      </w:r>
    </w:p>
    <w:p>
      <w:r>
        <w:t>Bundesverwaltungsgericht, 2020-03-24, DE</w:t>
      </w:r>
    </w:p>
    <w:p>
      <w:r>
        <w:rPr>
          <w:b/>
        </w:rPr>
        <w:t xml:space="preserve">Quelle: </w:t>
      </w:r>
      <w:r>
        <w:t>https://mcp.opencaselaw.ch/entscheid/bvger_D-6268_2019</w:t>
      </w:r>
    </w:p>
    <w:p>
      <w:r>
        <w:t>FR: TAF D-6268/2019 du 24 mars 2020</w:t>
      </w:r>
    </w:p>
    <w:p>
      <w:r>
        <w:t>IT: TAF D-6268/2019 del 24 marzo 2020</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 und auch vorliegend endgültig (Art. 105 AsylG; Art. 83 Bst. d Ziff. 1 BGG).</w:t>
      </w:r>
    </w:p>
    <w:p>
      <w:r>
        <w:rPr>
          <w:b/>
        </w:rPr>
        <w:t>E. 1.2</w:t>
      </w:r>
    </w:p>
    <w:p>
      <w:r>
        <w:t>Am 1. März 2019 ist die Teilrevision des AsylG vom 26. Juni 1998 (AS 2016 3101) in Kraft getreten. Für das vorliegende Verfahren gilt das bisherige Recht (vgl. Abs. 1 der Übergangsbestimmungen zur Änderung des AsylG vom 25. September 2015).</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6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w:t>
      </w:r>
    </w:p>
    <w:p>
      <w:r>
        <w:rPr>
          <w:b/>
        </w:rPr>
        <w:t>E. 4</w:t>
      </w:r>
    </w:p>
    <w:p>
      <w:r>
        <w:t>Gestützt auf Art. 111a Abs. 1 AsylG wurde auf die Durchführung eines Schriftenwechsels verzichtet. 5.5.1 Soweit der Beschwerdeführer eine allgemeine Gefährdungslage für nach Sri Lanka zurückkehrende tamilische Asylsuchende geltend macht, kann unter Berücksichtigung des Referenzurteils E-1866/2015 vom 15. Juli 2016 festgehalten werden, dass der Beschwerdeführer keine asylrelevante Verfolgungssituation glaubhaft machen konnte und dass er, ausser seiner tamilischen Ethnie und der viereinhalbjährigen Landesabwesenheit, keine der Risikofaktoren erfüllt. Der Beschwerdeführer bringt im vorliegenden ausserordentlichen Verfahren nichts vor, was an dieser Einschätzung etwas zu ändern vermag. Insbesondere macht er mit seinem lediglich pauschalen Verweis auf die Verhängung des Ausnahmezustandes beziehungsweise des Ergebnisses der Kommunalwahlen und die damit einhergehende Möglichkeit der sri-lankischen Behörden, willkürliche Massnahmen vorzunehmen, keine ihn individuell und konkret drohenden Verfolgungshandlungen geltend. Auch aus der in der Zwischenzeit eingetretenen Tatsache, dass der frühere Militärchef Gotabaya Rajapaksa die Präsidentschaftswahlen vom 16. November 2019 gewonnen hat (Frankfurter Allgemeine, Die starken Männer sind zurück, 17.11.2019) kann der Beschwerdeführer keine individuelle Gefahr vor einer Verfolgung ableiten, zumal seine Vorbringen für unglaubhaft befunden wurden. Zwar befürchten Beobachter und ethnische / religiöse Minderheiten insbesondere mehr Repression und die vermehrte Überwachung von Menschenrechtsaktivistinnen und -aktivisten, Journalistinnen und Journalisten, Oppositionellen und regierungskritischen Personen (vgl. Schweizerische Flüchtlingshilfe [SFH]: Regierungswechsel weckt Ängste bei Minderheiten, 21.11.2019). Anfang März 2020 löste Gotabaya Rajapaksa das Parlament vorzeitig auf und kündigte Neuwahlen an (vgl. NZZ, Sri Lankas Präsident löst das Parlament auf, 3.3.2020). Das Bundesverwaltungsgericht ist sich der genannten Veränderungen in Sri Lanka bewusst. Es beobachtet die Entwicklungen aufmerksam und berücksichtigt diese bei seiner Entscheidfindung. Zwar ist beim derzeitigen Kenntnisstand durchaus von einer möglichen Akzentuierung der Gefährdungslage auszugehen, der Personen mit einem bestimmten Risikoprofil ausgesetzt sind beziehungsweise bereits vorher ausgesetzt waren (vgl. Referenzurteil des Bundesverwaltungsgerichts E-1866/2015 vom 15. Juli 2016, HRW, Sri Lanka: Families of «Disappeard» Threatened, 16.02.2020). Dennoch gibt es zum heutigen Zeitpunkt keinen Grund zur Annahme, dass seit dem Machtwechsel in Sri Lanka ganze Bevölkerungsgruppen kollektiv einer Verfolgungsgefahr ausgesetzt wären. Unter diesen Umständen ist im Einzelfall zu prüfen, ob ein persönlicher Bezug der asylsuchenden Personen zur Präsidentschaftswahl vom 16. November 2019 respektive deren Folgen besteht. Ein solcher Bezug ist, wie sich aus den obenstehenden Erwägungen ergibt, vorliegend nicht gegeben. 5.2 Betreffend die gesundheitliche Situation des Beschwerdeführers kann weitgehend auf die Ausführungen in der angefochtenen Verfügung verwiesen werden. Die vom Beschwerdeführer vorgebrachten psychischen Leiden sowie die suizidalen Tendenzen sind im ersten Wiedererwägungsverfahren geprüft worden. Dabei wurde von der grundsätzlichen Behandelbarkeit des Leidens des Beschwerdeführers im Herkunftsgebiet ausgegangen. Im neu eingereichten und vom SEM gewürdigten ärztlichen Bericht vom (...) wird erstmals das Auftreten von Alkoholmissbrauch und im Weiteren erneut selbstverletzende Tendenzen festgestellt. Gemäss ärztlichem Bericht vom (...) leidet der Beschwerdeführer unter Anpassungsstörung mit Angst und depressiver Reaktion sowie psychischen Verhaltensstörungen durch Alkohol sowie selbstverletzenden Tendenzen, wobei diese Beschwerden aktuell psychotherapeutisch und medikamentös (Antidepressivum, Neuroleptikum) behandelt werden. Die Möglichkeit der Weiterführung dieser Behandlung im Heimatstaat ist gegeben. Hinsichtlich der suizidalen Tendenzen des Beschwerdeführers ist darauf hinzuweisen, dass vorliegend konkrete Massnahmen (fachärztliche sowie medikamentöse Vorbereitung und Begleitung vor und bei der Ausreise) getroffen werden können. Schliesslich ist festzuhalten, dass sich die Rüge in der Beschwerde, wonach das SEM die aktuellen ärztlichen Berichte nicht näher geprüft habe, als unzutreffend erweist, weshalb der weitere Antrag, die Sache sei zur näheren Abklärung an die Vorinstanz zurückzuweisen, abzuweisen ist. 6.Insgesamt konnte der Beschwerdeführer keine nach dem rechtskräftigen Abschluss seines ordentlichen Asylverfahrens entstandenen Gründe geltend machen, die in Bezug auf seine Flüchtlingseigenschaft oder den Wegweisungsvollzug zu einer anderen Würdigung führen könnten. Aus diesen Erwägungen ergibt sich, dass die angefochtene Verfügung Bundesrecht nicht verletzt, den rechtserheblichen Sachverhalt richtig sowie vollständig feststellt (Art. 106 Abs. 1 AsylG) und - soweit diesbezüglich überprüfbar - angemessen ist. Die Beschwerde ist abzuweisen. 7.7.1 Mit dem vorliegenden Urteil werden die Anträge, es sei der Beschwerde die aufschiebende Wirkung zu erteilen beziehungsweise es sei auf die Erhebung eines Kostenvorschusses zu verzichten, gegenstandslos. 7.2 Die weiteren Anträge auf Gewährung der unentgeltlichen Rechtspflege im Sinne von Art. 65 Abs. 1 und 2 VwVG sind - da sich die Rechtsbegehren als aussichtslos erwiesen haben - abzuweisen. 7.3 Bei dieser Sachlage sind die Kosten dem unterliegenden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