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D-6265/2015 vom 15. Juni 2017</w:t>
      </w:r>
    </w:p>
    <w:p>
      <w:r>
        <w:t>Bundesverwaltungsgericht, 2017-06-15, DE</w:t>
      </w:r>
    </w:p>
    <w:p>
      <w:r>
        <w:rPr>
          <w:b/>
        </w:rPr>
        <w:t xml:space="preserve">Quelle: </w:t>
      </w:r>
      <w:r>
        <w:t>https://mcp.opencaselaw.ch/entscheid/bvger_D-6265_2015</w:t>
      </w:r>
    </w:p>
    <w:p>
      <w:r>
        <w:t>FR: TAF D-6265/2015 du 15 juin 2017</w:t>
      </w:r>
    </w:p>
    <w:p>
      <w:r>
        <w:t>IT: TAF D-6265/2015 del 15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Die Vernehmlassung vom 11. April 2016 wurde dem Beschwerdeführer bis anhin nicht zur Kenntnis gebracht. Im Sinne der Transparenz und aus Gründen der Prozessökonomie ist ihm eine Kopie derselben mit dem vorliegenden Urteil zuzustellen.</w:t>
      </w:r>
    </w:p>
    <w:p>
      <w:r>
        <w:rPr>
          <w:b/>
        </w:rPr>
        <w:t>E. 2</w:t>
      </w:r>
    </w:p>
    <w:p>
      <w:r>
        <w:t>Die Kognition des Bundesverwaltungsgerichts und die zulässigen Rügen richten sich im Asylbereich nach Art. 106 Abs. 1 AsylG.</w:t>
      </w:r>
    </w:p>
    <w:p>
      <w:r>
        <w:rPr>
          <w:b/>
        </w:rPr>
        <w:t>E. 3</w:t>
      </w:r>
    </w:p>
    <w:p>
      <w:r>
        <w:t>Bei Beschwerden gegen Nichteintretensentscheide, mit denen es das SEM ablehnt, das Asylgesuch auf seine Begründetheit hin zu überprüfen, beschränkt sich die Beurteilungskompetenz der Beschwerdeinstanz grundsätzlich auf die Frage ist, ob die Vorinstanz zu Recht auf das Asylgesuch nicht eingetreten ist (vgl. BVGE 2011/9 E. 5 m.w.H.). Die Beschwerdeinstanz - sofern sie den Nichteintretensentscheid als unrechtmässig erachtet - enthält sich einer selbstständigen materiellen Prüfung, hebt die angefochtene Verfügung auf und weist die Sache zu neuer Entscheidung an die Vorinstanz zurück (vgl. BVGE 2007/8 E. 2.1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des Beschwerdeführers mit der "Eurodac"-Datenbank ergab, dass dieser am 29. Juni 2015 in Ungarn ein Asylgesuch eingereicht hatte. Die ungarischen Behörden liessen das Ersuchen des SEM um Wiederaufnahme des Beschwerdeführers innert der in Art. 22 Abs. 1 Dublin-III-VO vorgesehenen Frist unbeantwortet, womit sie die Zuständigkeit Ungarns implizit anerkannten (Art. 25 Abs. 2 Dublin-III-VO). Die grundsätzliche Zuständigkeit Ungarns ist somit gegeben. Dies blieb auch seitens des Beschwerdeführers unbestritten.</w:t>
      </w:r>
    </w:p>
    <w:p>
      <w:r>
        <w:rPr>
          <w:b/>
        </w:rPr>
        <w:t>E. 6.1</w:t>
      </w:r>
    </w:p>
    <w:p>
      <w:r>
        <w:t>Im Lichte von Art. 3 Abs. 2 Dublin-III-VO ist weiter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welche die grundsätzliche Zuständigkeit Ungarns im Sinne von Art. 3 Abs. 1 Dublin-III-VO durchbrechen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Mit derselben Begründung, wie sie vorstehend dargelegt wurde, ist es dem Gericht vorliegend nicht möglich, die Vorbringen in der Beschwerde vom 2. Oktober 2015 zu beurteilen. Die angefochtene Verfügung ist folglich aufzuheben und die Sache zur vollständigen Sachverhaltsfeststellung sowie zur neuen Entscheidung an die Vorinstanz zurückzuweisen. Die Beschwerde ist demnach gutzuheissen, ohne dass auf die weiteren Beschwerdevorbringen eingegangen werden müsste. Nachdem sich die Beschwerde aufgrund des oben Gesagten zum heutigen Zeitpunkt als offensichtlich begründet erweist, ist sie im Einzelrichterverfahren mit Zustimmung eines zweiten Richters beziehungsweise einer zweiten Richterin gutzuheissen (Art. 111 Bst. e AsylG).</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