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D-6250/2009 vom 29. März 2011</w:t>
      </w:r>
    </w:p>
    <w:p>
      <w:r>
        <w:t>Bundesverwaltungsgericht, 2011-03-29, DE</w:t>
      </w:r>
    </w:p>
    <w:p>
      <w:r>
        <w:rPr>
          <w:b/>
        </w:rPr>
        <w:t xml:space="preserve">Quelle: </w:t>
      </w:r>
      <w:r>
        <w:t>https://mcp.opencaselaw.ch/entscheid/bvger_D-6250_2009</w:t>
      </w:r>
    </w:p>
    <w:p>
      <w:r>
        <w:t>FR: TAF D-6250/2009 du 29 mars 2011</w:t>
      </w:r>
    </w:p>
    <w:p>
      <w:r>
        <w:t>IT: TAF D-6250/2009 del 29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in ausführlichen Erwägungen dargelegt, weshalb sie die dargelegte Verfolgung der Beschwerdeführerin für unglaubhaft erach­tet. Dabei ging sie detailliert auf die einzelnen Verfolgungsvorbringen ein und kam nach deren Prüfung zum Schluss, sie genügten den Anforderun­gen von Art. 7 AsylG nicht. Diese Einschätzung ist gemäss nachfolgen­den Erwägungen im Ergebnis zu bestätigen. Entgegen der Beschwerde­rüge kann der angefochtenen Verfügung mithin nicht entnommen wer­den, dass die Vorinstanz bei der Glaubhaftigkeitsprüfung von einem fal­schen Massstab ausgegangen wäre.</w:t>
      </w:r>
    </w:p>
    <w:p>
      <w:r>
        <w:rPr>
          <w:b/>
        </w:rPr>
        <w:t>E. 4.2</w:t>
      </w:r>
    </w:p>
    <w:p>
      <w:r>
        <w:t>Das BFM hat die Vergewaltigung der Beschwerdeführerin als unglaubhaft erachtet. Im Rekurs wird die der Beschwerdeführe­rin angelastete mangelhafte Substanziierung unter anderem mit der erfolg­ten Traumatisierung in Verbindung gebracht. Dabei wird auf ein Ur­teil der Beschwerdeinstanz verwiesen. Dazu ist vorerst festzuhalten, dass im die Beschwerdeführerin betreffenden Arztbericht vom 20. Oktober zwar eine Angststörung mit Depression, nicht aber eine eigentliche Traumatisierung erwähnt respek­tive diagnostiziert wird. Unbesehen dieser Sachlage fällt auf, dass die Beschwerdeführerin die Vergewaltigung bereits zu Beginn der Summarbefragung geltend machte (A 1/11 S. 2). Auch danach erwähnte sie die angeblich erlittene se­xuelle Gewalt wieder spontan (A 1/11 S. 5). Im Verlaufe der Anhörung er­weckte sie in Anbetracht ihres Aussageverhaltens wiederum nicht den Ein­druck, sie sei aus psychischen Gründen nicht in der Lage, vom angeb­lich Erlebten zu berichten. Im zitierten Urteil der Beschwerdeinstanz (Ent­scheidungen und Mitteilungen der Schweizerischen Asylrekurskommis­sion [EMARK] 2003 Nr. 17) ging es aber um die nachvollziehbare Schwierig­keit einer betroffenen Person, das Erlebte bereits im ordentli­chen Asylverfahren geltend zu machen. Da die Beschwerdeführerin nach dem Gesagten in der Lage war, bereits zu Beginn des Verfahrens und wie­derholt das Erwähnte vorzubringen, kann sie aus dem Urteil nichts zu ih­ren Gunsten ableiten.</w:t>
      </w:r>
    </w:p>
    <w:p>
      <w:r>
        <w:rPr>
          <w:b/>
        </w:rPr>
        <w:t>E. 4.3.1</w:t>
      </w:r>
    </w:p>
    <w:p>
      <w:r>
        <w:t>Es ist aber festzuhalten, dass die an­geblichen Vergewaltigungen stattgefunden haben sollen, als die Beschwerdeführerin etwa vier­zehn Jahre alt war. Im Zeitpunkt der Anhörung sieben oder acht Jahre später konnte von ihr entsprechend nicht erwartet werden, dass sie in der Lage wäre, sämtliche Einzelheiten im Zusammenhang mit dem Vorfall noch zu memorisieren (A 11/18 Antwort 106). Die Beschreibung der angeblichen Täter ist indes eher dürftig ausgefallen (A 11/18 Antwort 103 f. und 122 f.). Auffallend ist sodann, dass sie bei der Anhörung im Rahmen der ers­ten spontanen Schilderung die Vergewaltigung gar nicht mehr erwähnte (A 11/18 Antwort 56). Vielmehr legte sie dar, wegen der Beschuldigungen der äthiopischen Regierung verbunden mit Vorladungen und der Unterdrü­ckung der "WENEG" geflohen zu sein. Die anschliessende Frage, ob dies ihre einzigen Fluchtgründe seien, bejahte sie. Dieser Um­stand ist ein weiteres Indiz dafür, dass die angebliche Vergewaltigung zumindest nicht stattgefunden hat beziehungsweise für die Ausreise nicht mehr ausschlaggebend war. Hinzu kommt, dass ihre Angaben zur Dauer der Vergewaltigungen (mehrere Stunden) mit der Vorinstanz insofern nicht nachvollzogen werden können, als fraglich erscheint, weshalb sie in Anbetracht der geltend gemachten Ohnmacht betreffend Dauer der Übergriffe gleichwohl entsprechende Angaben machen konnte (A 1/11 S. 5 f.). Überzeugende Beschwerdeargumente, welche eine andere Sichtweise rechtfertigen würden, fehlen. Im Ergebnis ist mithin zu bezweifeln, dass sie unter den dargelegten Umständen Opfer sexueller Gewalt wurde. Ohnehin aber vermöchten die Ereignisse, die sich über sieben Jahre vor der Ausreise zugetragen haben sollen, nicht zur Begründung der Flüchtlingseigenschaft zu führen, zumal - wie nachfolgend aufgezeigt - die Vorbringen bezüglich seither erlebter Nachteile nicht glaubhaft sind. Das Asyl dient nicht dem Ausgleich vergangener Nachteile. Im unmittelbaren Nachgang an die Vergewaltigung machte die Beschwerdeführerin keine Übergriffe oder Nachteile geltend. Vielmehr habe die Nachbarin sie gesund gepflegt und später habe sie auch gearbeitet. Von den Polizisten, die ihr Gewalt angetan hätten, habe sie nie wieder etwas gehört. Sie habe auch stets zu Hause gelebt. Einen Zusammenhang zwischen der angeblich erlebten Vergewaltigung und der Ausreise vermag die Beschwerdeführerin damit nicht herzustellen.</w:t>
      </w:r>
    </w:p>
    <w:p>
      <w:r>
        <w:rPr>
          <w:b/>
        </w:rPr>
        <w:t>E. 4.3.2</w:t>
      </w:r>
    </w:p>
    <w:p>
      <w:r>
        <w:t>Die angeblichen Spionage-Verdächtigungen der Regierung verbunden mit Vorla­dungen respektive Einschüchterungen sind von der Beschwerdeführe­rin sodann ausgesprochen substanzlos geschildert worden (A 11/18 Antworten 62 ff.). So war sie beispielsweise nicht in der Lage, auf Nachfragen im Zusammenhang mit dem Zeitpunkt der letzten Vorladung überzeugende Angaben zu machen. Auch zu anderen Punkten wirken ihre Aussagen sehr vage. Dasselbe trifft für die angebliche Organisation "WENEG" zu. Abgesehen davon, dass eine Oromo-Organisation unter die­ser Bezeichnung in Äthiopien den verfügbaren Quellen zufolge nicht exis­tiert, wirken unter anderem auch ihre Angaben zu Begegnungen mit Vertretern der Gruppierung wiederum stereotyp und entbehren jeglicher Substanz (A 11/18 Antworten 58 ff.,134 ff. und 158 ff.).Überdies hatte sie die Probleme mit einer Oromo-Organisation in der Summarbefragung noch nicht erwähnt (A 1/11 S. 7).</w:t>
      </w:r>
    </w:p>
    <w:p>
      <w:r>
        <w:rPr>
          <w:b/>
        </w:rPr>
        <w:t>E. 4.3.3</w:t>
      </w:r>
    </w:p>
    <w:p>
      <w:r>
        <w:t>Dass die Beschwerdeführerin aus politischen oder ethni­schen Gründen mit der Regierung in Konflikt geriet beziehungsweise durch eine Oromo-Organisation behelligt wurde, ist somit ebenfalls unglaub­haft. In der Beschwerdeschrift fehlen denn auch in diesen Punk­ten nachvollziehbare Argumente, welche die Auffassung des BFM als unge­rechtfertigt erscheinen lassen würden. Auf die entsprechenden vo­rinstanzlichen Erwägungen kann mithin verwiesen werden. Insgesamt ergibt sich daraus, dass die Beschwerdeführerin die letzten Jahre vor der Ausreise offenbar unbehelligt in ihrem Elternhaus wohnhaft war und einer Arbeit nachgegangen ist. Im Zeitpunkt der Ausreise war die Beschwerdeführerin offensichtlich keiner Verfolgung ausgesetzt.</w:t>
      </w:r>
    </w:p>
    <w:p>
      <w:r>
        <w:rPr>
          <w:b/>
        </w:rPr>
        <w:t>E. 4.4</w:t>
      </w:r>
    </w:p>
    <w:p>
      <w:r>
        <w:t>Unter Berücksichtigung der gesamten Umstände folgt, dass die Be­schwerdeführerin keine Gründe nach Art. 3 AsylG nachweisen oder glaubhaft machen konnte. Es erübrigt sich, auf weitere Ungereimtheiten näher einzugehen, wobei jedoch die Aussagen, sie habe jahrelang nichts von ihrer Tante väterlicherseits gewusst, diese dann nach Jahren mit Hilfe Dritter aufgefunden und überdies habe diese über derart gute finanzielle Verhältnisse verfügt, dass sie ihr gar eine Ausreise per Flugzeug organisieren konnte, offensichtlich nicht der Realität entsprechen können. Die Vorinstanz hat die Flüchtlingseigen­schaft dem­nach insgesamt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unter Hin­weis auf die Erwägungen zum Flüchtlingspunkt jedoch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In Äthiopien herrscht zurzeit keine landesweite Situation allgemeiner Gewalt, weshalb in konstanter Praxis von der generellen Zumutbarkeit des Wegweisungsvollzugs in dieses Land ausgegangen wird. In den Akten finden sich auch keine konkreten Anhaltspunkte dafür, dass die Beschwerdeführerin aus individuellen Gründen wirt­schaftlicher, sozia­ler oder gesundheitlicher Natur in eine existenzbedrohende Situation gera­ten würde. Das Beschwerdevorbringen, wonach kein Kontakt mehr zur Tante in Äthiopien bestehe, wirkt konstruiert. Abgesehen davon wäre ihr zuzumuten, den angeblich abgebrochenen Kontakt zur Tante, welche ihr bei der Ausreise behilflich gewesen sein soll, wieder herzustellen. Fer­ner wohnte die Beschwerdeführerin vor der Ausreise im elterlichen Haus und verfügte über Arbeitserfahrung im Reinigungsgewerbe. Auch in der Schweiz ist es ihr gelungen, eine Anstellung zu finden. Zu Nachbarn in _______ hatte sie gute Beziehungen (A 1/11 S. 3 f.; A 11/18 Antworten 17, 30 und 132). Entsprechend kann davon ausgegangen werden, sie gerate nach der Rückkehr ins Heimatland nicht in eine existen­zielle Notlage, zu­mal ein allfällig noch bestehendes oder wieder auftauchendes psychi­sches Leiden, wie es im Arztbericht vom 20. Oktober 2009 diagnostiziert wurde, grundsätzlich auch vor Ort behandelt werden könnte. Im Übrigen weist die Vorinstanz zu Recht darauf hin, dass aufgrund der Unglaubhaftig­keit der Vorbringen der Beschwerdeführerin die Frage, ob sie gemäss ihren Angaben tatsächlich keine nahen Verwandten im Sinne ei­nes dichteren sozialen Netzes in Äthiopien hat, letztlich nicht ge­klärt und vom Bundesverwaltungsgericht praxisgemäss auch nicht weiter abzuklä­ren ist, da die Untersu­chungspflicht nach Treu und Glau­ben ihre Grenzen an der Mitwirkungspflicht der beschwerdeführenden Person fin­det (Art. 8 AsylG), die im Übrigen auch die Substan­ziierungslast trägt (Art. 7 AsylG), Nach dem Gesagten erweist sich der Vollzug der Wegweisung als zumut­bar.</w:t>
      </w:r>
    </w:p>
    <w:p>
      <w:r>
        <w:rPr>
          <w:b/>
        </w:rPr>
        <w:t>E. 6.6</w:t>
      </w:r>
    </w:p>
    <w:p>
      <w:r>
        <w:t>Schliesslich obliegt es der Beschwerdeführerin, sich bei der zuständi­gen Vertretung des Heimatstaates die für eine Rückkehr notwendigen Rei­sedokumente zu beschaffen (vgl. Art. 8 Abs. 4 AsylG und dazu auch BVGE 2008/34 E. 12 S. 513 - 515). Das Argument in der Beschwerde, die äthiopische Vertretung in der Schweiz werde der Beschwerdeführerin keine Reisepapiere ausstellen, ist als blosse Behauptung nicht geeignet, entscheidende Vollzugsschwierigkeiten glaubhaft zu machen,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VwVG). Da ihr Gesuch im Sinne von Art. 65 Abs. 1 VwVG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