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D-6245/2017 vom 18. Februar 2019</w:t>
      </w:r>
    </w:p>
    <w:p>
      <w:r>
        <w:t>Bundesverwaltungsgericht, 2019-02-18, IT</w:t>
      </w:r>
    </w:p>
    <w:p>
      <w:r>
        <w:rPr>
          <w:b/>
        </w:rPr>
        <w:t xml:space="preserve">Quelle: </w:t>
      </w:r>
      <w:r>
        <w:t>https://mcp.opencaselaw.ch/entscheid/bvger_D-6245_2017</w:t>
      </w:r>
    </w:p>
    <w:p>
      <w:r>
        <w:t>FR: TAF D-6245/2017 du 18 février 2019</w:t>
      </w:r>
    </w:p>
    <w:p>
      <w:r>
        <w:t>IT: TAF D-6245/2017 del 18 febbraio 2019</w:t>
      </w:r>
    </w:p>
    <w:p>
      <w:pPr>
        <w:pStyle w:val="Heading2"/>
      </w:pPr>
      <w:r>
        <w:t>Regeste</w:t>
      </w:r>
    </w:p>
    <w:p>
      <w:r>
        <w:t>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non avendo il ricorrente contestato il mancato riconoscimento della qualità di rifugiato ed il respingimento della domanda d'asilo così come la pronuncia dell'allontanamento, oggetto del litigio in questa sede risulta essere esclusivamente la questione dell'esecuzione dell'allontanamento.</w:t>
      </w:r>
    </w:p>
    <w:p>
      <w:r>
        <w:rPr>
          <w:b/>
        </w:rPr>
        <w:t>E. 4.1</w:t>
      </w:r>
    </w:p>
    <w:p>
      <w:r>
        <w:t>Nella decisione querelata, l'autorità inferiore ha ritenuto l'esecuzione dell'allontanamento ammissibile ai sensi del diritto internazionale e della LAsi. Segnatamente, l'allontanamento non sarebbe contrario ai principi fissati dalla Convenzione sui diritti del fanciullo. In seguito, l'esecuzione dell'allontanamento sarebbe pure ragionevolmente esigibile e possibile. Malgrado la minore età del richiedente, egli avrebbe in Nigeria una fitta rete sociale sia a Benin City, dove aveva già vissuto e lavorato e dove potrebbe soggiornare in una casa di famiglia, sia nel villaggio di B._______ dove vivrebbero i genitori i quali sarebbero disposti a riceverlo a casa. Data la vicinanza di Benin City al villaggio egli potrebbe addirittura fare il pendolare qualora trovasse un lavoro in città. Tale situazione sarebbe conforme all'interesse superiore del richiedente. Peraltro, egli sarebbe giovane, in buona salute, con una buona istruzione e con un'esperienza lavorativa pregressa. Infine, il richiedente avrebbe un'età che gli permetterebbe di lavorare e aiutare economicamente i famigliari, avendo già portato a termine la scuola dell'obbligo.</w:t>
      </w:r>
    </w:p>
    <w:p>
      <w:r>
        <w:rPr>
          <w:b/>
        </w:rPr>
        <w:t>E. 4.2</w:t>
      </w:r>
    </w:p>
    <w:p>
      <w:r>
        <w:t>In sede ricorsuale, l'insorgente contesta la valutazione dell'autorità inferiore in merito all'esigibilità dell'esecuzione dell'allontanamento. In particolare, a mente del ricorrente, non sarebbe sufficiente chiarire la situazione per quanto riguarda eventuali pericoli concreti legati al rinvio, ma sarebbe pure necessario verificare che il rinvio non sia in contrasto con l'interesse superiore del fanciullo. Per effettuare tale analisi non andrebbe tenuto conto soltanto dell'età e del grado di maturità del minore, ma bensì anche della capacità effettiva della famiglia di accudire il fanciullo, la formazione e le prospettive future nel Paese d'origine, così come il grado di integrazione in Svizzera. Conformemente alla giurisprudenza, le autorità di asilo dovrebbero chiarire se il fanciullo può far ritorno presso i genitori e se questi ultimi sono in grado di coprire i bisogni dello stesso. Se ciò risulta incerto, occorrerebbe valutare la possibilità di collocamento presso terzi o in istituzioni specializzare. Infine, la SEM dovrebbe prendere tutte le misure atte ad accertare se al momento del ritorno nel Paese d'origine il fanciullo sia effettivamente accolto dalla famiglia, da terzi o da istituzioni specializzate. Nel caso in disamina, il ricorrente sostiene che non risulta che l'autorità di prime cure, prima della pronuncia della decisione, abbia verificato che i genitori siano effettivamente disposti a riaccogliere il ricorrente. Il semplice fatto che il ricorrente disponga di una rete familiare in Nigeria non sarebbe sufficiente per considerare esigibile l'allontanamento. Nella fattispecie, la disponibilità e volontà dei genitori non apparirebbe certa dal momento che il ricorrente non ha mai vissuto con loro.</w:t>
      </w:r>
    </w:p>
    <w:p>
      <w:r>
        <w:rPr>
          <w:b/>
        </w:rPr>
        <w:t>E. 5</w:t>
      </w:r>
    </w:p>
    <w:p>
      <w:r>
        <w:t>L'esecuzione dell'allontanamento è regolamentata, per rinvio dell'art. 44 LAsi, all'art. 83 della legge sugli stranieri e la loro integrazione (LStrI, RS 142.20, nuovo titolo dal 1° gennaio 2019, medesimo tenore per quanto riguarda l'art. 83).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6</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l'interessato non è riuscito a dimostrare l'esistenza di seri pregiudizi o il fondato timore di essere esposti a tali pregiudizi ai sensi dell'art. 3 LAsi, il principio del non respingimento non trova applicazione ed il rinvio dell'insorgente verso la Nigeria è dunque ammissibile sotto l'aspetto dell'art. 5 cpv. 1 LAsi. Inoltre, dagli atti di causa non risultano esservi elementi che permettano di ritenere l'esistenza di un rischio personale, concreto e serio per l'insorgente di essere esposto, nel suo Paese d'origine ad un trattamento proibito ai sensi dell'art. 3 CEDU o dell'art. 3 Conv. tortura. Tale punto non è altresì stato contestato dal ricorrente in sede ricorsuale. Pertanto, l'esecuzione dell'allontanamento è ammissibile ai sensi delle norme di diritto internazionale pubblico nonché della LAsi.</w:t>
      </w:r>
    </w:p>
    <w:p>
      <w:r>
        <w:rPr>
          <w:b/>
        </w:rPr>
        <w:t>E. 7</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7.1</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7.2</w:t>
      </w:r>
    </w:p>
    <w:p>
      <w:r>
        <w:t>Altresì, in presenza di minorenni non accompagnati, occorre prendere in considerazione - in materia d'allontanamento e della relativa esecuzione - le norme inerenti la protezione dei fanciulli non accompagnati come è stato rettamente rilevato nella decisione impugnata. L'interesse superiore del fanciullo giusta l'art. 3 della Convenzione sui diritti del fanciullo del 20 novembre 1989 (CDF, RS 0.107) è un elemento di rilievo per l'esame dell'esigibilità dell'esecuzione dell'allontanamento (cfr. DTAF 2009/51 consid. 5.6; GICRA 2006 n. 24 consid. 6.2.1 e GICRA 1998 n. 13 consid. 5e).</w:t>
      </w:r>
    </w:p>
    <w:p>
      <w:r>
        <w:rPr>
          <w:b/>
        </w:rPr>
        <w:t>E. 7.3</w:t>
      </w:r>
    </w:p>
    <w:p>
      <w:r>
        <w:t>Nel caso in disamina, per quanto riguarda il contesto generale, malgrado i problemi e gli scontri locali che avvengono episodicamente, in Nigeria non vige attualmente una situazione di guerra, guerra civile o violenza generalizzata che coinvolga l'insieme del territorio e della popolazione nazionale. In seguito, neppure dalla situazione personale del ricorrente emergono indizi per ritenere che egli sarà concretamente in pericolo in caso di ritorno in Nigeria. Nel ricorso, si allega che il ricorrente è minorenne e quindi la SEM avrebbe dovuto verificare se egli avrebbe potuto effettivamente tornare dai genitori. In questo contesto il Tribunale osserva che nell'evenienza concreta, quand'anche si ritenesse il ricorrente minorenne - situazione frattanto superata dal tempo trascorso - egli avrebbe avuto, come da lui stesso allegato, la possibilità di andare a vivere presso i genitori i quali si sarebbero dichiarati pronti ad accoglierlo. In effetti i genitori, con i quattro tra fratelli e sorelle, risiedono nel villaggio di B._______, ad un paio d'ore di viaggio dalla città di Benin City ed alla morte del nonno hanno domandato all'interessato di far ritorno al villaggio (cfr. verbale 2, D24, D103-D106). Egli ha tuttavia, di sua spontanea volontà, preferito continuare a vivere da solo con i cugini nell'abitazione del nonno, non avendo mai vissuto con i genitori ed essendo il padre contrario al fatto che andasse a scuola (cfr. verbale 2, D91-D95). Altresì, in Patria, vivono diversi tra zii e cugini, con i quali l'insorgente aveva oltretutto già vissuto per diversi anni nella casa del nonno ora appartenente alla famiglia (cfr. verbale 1, pag. 5; verbale 2, D26-D36, D66, D73 e D77). A maggior ragione, da maggiorenne non si intravvedono ostacoli all'esecuzione dell'allontanamento dal momento che l'insorgente gode di esperienza professionale quale piastrellista. Altresì, non di poco conto risulta il fatto che l'insorgente dopo la morte del nonno avvenuta nel 2009 e fino all'espatrio - malgrado la sua giovanissima età - sia riuscito da solo a provvedere al suo sostentamento, riuscendo inizialmente a lavorare e a continuare gli studi, per poi abbandonarli e svolgere la professione di piastrellista (cfr. verbale 1, pag. 4; verbale 2, D14). Di conseguenza, non vi sono nella fattispecie indizi per ritenere che egli non sarà in grado di trovare un occupazione e provvedere a sé stesso una volta tornato in Patria. Infine, il ricorrente gode di buona salute e non ha preteso nel gravame di soffrire di gravi problemi di salute che possano giustificare la sua ammissione provvisoria (cfr. DTAF 2011/50 consid. 8.1-8.3; 2009/2 consid. 9.3.2). In considerazione di quanto precede, l'esecuzione dell'allontanamento del ricorrente è ragionevolmente esigibile (art. 83 cpv. 4 LStrI in relazione all'art. 44 LAsi).</w:t>
      </w:r>
    </w:p>
    <w:p>
      <w:r>
        <w:rPr>
          <w:b/>
        </w:rPr>
        <w:t>E. 8</w:t>
      </w:r>
    </w:p>
    <w:p>
      <w:r>
        <w:t>In ultima analisi, non risultano impedimenti neppure dal profilo della possibilità dell'esecuzione dell'allontanamento (art. 83 cpv. 2 LStrI in relazione all'art. 44 LAsi). L'insorgente, usando della necessaria diligenza, potrà procurarsi ogni documento indispensabile al rimpatrio (cfr. art. 8 cpv. 4 LAsi; DTAF 2008/34 consid. 12). L'esecuzione dell'allontanamento è dunque pure possibile.</w:t>
      </w:r>
    </w:p>
    <w:p>
      <w:r>
        <w:rPr>
          <w:b/>
        </w:rPr>
        <w:t>E. 9</w:t>
      </w:r>
    </w:p>
    <w:p>
      <w:r>
        <w:t>La SEM, con la decisione impugnata, non ha pertanto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10</w:t>
      </w:r>
    </w:p>
    <w:p>
      <w:r>
        <w:t>Visto l'esito della procedura, le spese giudiziarie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w:t>
      </w:r>
    </w:p>
    <w:p>
      <w:r>
        <w:rPr>
          <w:b/>
        </w:rPr>
        <w:t>E. 12</w:t>
      </w:r>
    </w:p>
    <w:p>
      <w:r>
        <w:t>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