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D-6243/2012 vom 18. Dezember 2012</w:t>
      </w:r>
    </w:p>
    <w:p>
      <w:r>
        <w:t>Bundesverwaltungsgericht, 2012-12-18, DE</w:t>
      </w:r>
    </w:p>
    <w:p>
      <w:r>
        <w:rPr>
          <w:b/>
        </w:rPr>
        <w:t xml:space="preserve">Quelle: </w:t>
      </w:r>
      <w:r>
        <w:t>https://mcp.opencaselaw.ch/entscheid/bvger_D-6243_2012</w:t>
      </w:r>
    </w:p>
    <w:p>
      <w:r>
        <w:t>FR: TAF D-6243/2012 du 18 décembre 2012</w:t>
      </w:r>
    </w:p>
    <w:p>
      <w:r>
        <w:t>IT: TAF D-6243/2012 del 18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Entscheidungen und Mitteilungen der [vormaligen] Schweizerischen Asylrekurskommission [EMARK] 2004 Nr. 1 E. 5 S. 4 ff.).</w:t>
      </w:r>
    </w:p>
    <w:p>
      <w:r>
        <w:rPr>
          <w:b/>
        </w:rPr>
        <w:t>E. 5</w:t>
      </w:r>
    </w:p>
    <w:p>
      <w:r>
        <w:t>Das BFM hat die geltend machten Ausreisegründe der Beschwerdeführenden als den Anforderungen an die Glaubhaftigkeit gemäss Art. 7 AsylG und denjenigen an die Flüchtlingseigenschaft gemäss Art. 3 AsylG nicht genügend erachtet. Dieser Einschätzung ist im Ergebnis beizupflichten. Zur Vermeidung von Wiederholungen kann auf die nicht zu beanstandenden Ausführungen in der angefochtenen Verfügung verwiesen werden. Die Rechtsmitteleingabe erschöpft sich im Wesentlichen in einer Wiederholung der bisherigen Vorbringen. Ihr sind keine stichhaltigen Entgegnungen zu entnehmen, die eine Änderung in der Frage der Flüchtlingseigenschaft und des Asyls (und der Durchführbarkeit des Wegweisungsvollzugs) zu bewirken vermöchten.</w:t>
      </w:r>
    </w:p>
    <w:p>
      <w:r>
        <w:rPr>
          <w:b/>
        </w:rPr>
        <w:t>E. 5.1</w:t>
      </w:r>
    </w:p>
    <w:p>
      <w:r>
        <w:t>Das BFM hat in zutreffender Weise festgestellt, dass die geltend gemachte Verfolgung der Beschwerdeführenden durch Albaner, mit denen der Bruder des Beschwerdeführers 1 in Streit geraten sei, zweifelhaft erscheint. Den in der vorinstanzlichen Verfügung aufgezeigten Widersprüchen in den Schilderungen der Beschwerdeführenden 1 und 2 haben diese in der Rechtsmitteleingabe nichts entgegenzusetzen. Im Übrigen kann eine Verfolgung durch nichtstaatliche Akteure nur dann flüchtlingsrechtlich relevant sein, wenn es der betroffenen Person nicht möglich ist, davor im Heimatstaat adäquaten Schutz zu finden (vgl. EMARK 2006 Nr. 18). Hinsichtlich der Schutzsuche machten die Beschwerdeführenden 1 und 2 wiederum widersprüchliche Angaben, brachte die Beschwerdeführerin 2 doch erst vor, sie hätten sich gar nicht an die Polizei gewendet (vgl. A13 S. 8). Die Beschwerdeführenden vermochten damit jedenfalls die Regelvermutung, dass in einem vom Bundesrat zum verfolgungssicheren Staat ("safe country") erklärten Land - der Bundesrat hat Mazedonien mit Beschluss vom 25. Juni 2003 zum "safe country" erklärt und ist von dieser Einschätzung im Rahmen der periodischen Prüfung bisher nicht abgewichen (Art. 6a Abs. 2 Bst. a und Abs. 3 AsylG) - asylrelevante staatliche Verfolgung nicht stattfindet und Schutz vor nichtstaatlicher Verfolgung gewährleistet ist, nicht umzustossen. Die vorgebrachten wirtschaftlichen Schwierigkeiten der Beschwerdeführenden stellen keinen Asylgrund im Sinne von Art. 3 AsylG dar, und auch mit dem Hinweis auf die allgemein schwierige Lage der Roma in Mazedonien vermögen die Beschwerdeführenden den Anforderungen an eine asylbeachtlich begründete, individuelle Verfolgung gemäss Art. 3 AsylG nicht zu genügen.</w:t>
      </w:r>
    </w:p>
    <w:p>
      <w:r>
        <w:rPr>
          <w:b/>
        </w:rPr>
        <w:t>E. 5.2</w:t>
      </w:r>
    </w:p>
    <w:p>
      <w:r>
        <w:t>Die Beschwerdeführenden erfüllen damit die Flüchtlingseigenschaft gemäss Art. 3 AsylG nicht. Das Bundesamt hat die Asylgesuche zu Recht abgelehnt.</w:t>
      </w:r>
    </w:p>
    <w:p>
      <w:r>
        <w:rPr>
          <w:b/>
        </w:rPr>
        <w:t>E. 6</w:t>
      </w:r>
    </w:p>
    <w:p>
      <w:r>
        <w:t>Lehnt das Bundesamt das Asylgesuch ab oder tritt es darauf nicht ein, so verfügt es in der Regel die Wegweisung aus der Schweiz und ordnet den Vollzug an (Art. 44 Abs. 1 AsylG). Die Beschwerdeführenden verfügen weder über eine ausländerrechtliche Aufenthaltsbewilligung noch über einen Anspruch auf Erteilung einer solchen. Die Wegweisung wurde daher zu Recht angeordnet (vgl. BVGE 2009/50 E. 9 S. 733, BVGE 2008/34 E. 9.2 S. 510).</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nicht zur Anwendung gelangen. Der Vollzug der Wegweisung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EGMR [Grosse Kammer], Saadi gegen Italien, Urteil vom 28. Februar 2008, Beschwerde Nr. 37201/06, §§ 124 - 127, mit weiteren Hinweisen). Dies ist vorliegend nicht der Fall. Auch die allgemeine Menschenrechtssituation in Mazedonien lässt den Wegweisungsvollzug nicht als unzulässig erscheinen.</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Die allgemeine Lage in Mazedonien ist weder von Bürgerkrieg noch von allgemeiner Gewalt gekennzeichnet.</w:t>
      </w:r>
    </w:p>
    <w:p>
      <w:r>
        <w:rPr>
          <w:b/>
        </w:rPr>
        <w:t>E. 7.2.2</w:t>
      </w:r>
    </w:p>
    <w:p>
      <w:r>
        <w:t>In den Akten finden sich auch keine konkreten Anhaltspunkte dafür, dass die Beschwerdeführenden aus individuellen Gründen wirtschaftlicher, sozialer oder gesundheitlicher Natur bei einer Rückkehr nach Mazedonien in eine existenzbedrohende Situation geraten würden. Allfällige wirtschaftliche Reintegrationsschwierigkeiten stehen dem Vollzug nicht entgegen, da blosse soziale oder wirtschaftliche Schwierigkeiten, von denen die ansässige Bevölkerung betroffen ist (z. B. Mangel an Arbeitsplätzen), keine existenzbedrohende Situation zu begründen vermögen, die den Vollzug der Wegweisung als unzumutbar erschienen liessen (vgl. EMARK 2005 Nr. 24 E. 10.1). Auch das im Lichte einer völkerrechtskonformen Auslegung von Art. 83 Abs. 4 AuG zu beachtende Kindeswohl im Sinne von Art. 3 Abs. 1 des Übereinkommens vom 20. November 1989 über die Rechte des Kindes (KRK, SR 0.107) steht einem Wegweisungsvollzug nicht entgegen. Nach nicht einmal einem Jahr kann nicht von einem so langen Aufenthalt in der Schweiz gesprochen werden, der die Entwurzelung der Beschwerdeführenden 3-5 im Heimatstaat zur Folge hat (vgl. BVGE 2009/51 E. 5.6 m.w.H. und BVGE 2009/28 E. 9.3.2 m.w.H.). Einer Rückkehr der Kinder zusammen mit ihren Eltern steht daher unter dem Aspekt des Kindeswohls nichts im Wege. Hinsichtlich der gesundheitlichen Probleme der Beschwerdeführerin 2 ist darauf hinzuweisen, dass nur dann auf die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Unzumutbarkeit liegt jedenfalls noch nicht vor, wenn im Heimatstaat eine nicht dem schweizerischen Standard entsprechende medizinische Behandlung möglich ist (vgl. BVGE 2009/2, EMARK 2003 Nr. 24 E. 5a und b). Vorliegend ist nicht auf eine konkrete Gefährdung der Beschwerdeführerin 2 aufgrund einer medizinischen Notlage zu schliessen. Institutionen zur Behandlung (...) Erkrankungen stehen auch in Mazedonien zur Verfügung und die Beschwerdeführerin 2 wurde auch schon seit Jahren entsprechend behandelt. Gemäss ihren eigenen Angaben sei sie seit rund acht Jahren regelmässig von Ärzten, die sich gut mit (...) ausgekannt hätten, behandelt worden (vgl. A13 S. 8). Im Übrigen vermag - wie bereits erwähnt - eine allenfalls nicht dem schweizerischen Standard entsprechende Behandlung im Heimatland nicht zur Unzumutbarkeit des Wegweisungsvollzugs zu führen. Aufgrund des Gesagten ist nicht davon auszugehen, die Beschwerdeführenden, die im Heimatland über ein verwandtschaftliches Beziehungsnetz und Arbeitserfahrung verfügen (vgl. A11 S. 6, A13 S. 5 f.), würden bei einer Rückkehr nach Mazedonien in eine ihre Existenz vernichtende Situation geraten, die als konkrete Gefährdung im Sinne der zu beachtenden Bestimmungen zu werden wäre (Art. 83 Abs. 4 AuG). Der Vollzug der Wegweisung erweist sich daher als zumutbar.</w:t>
      </w:r>
    </w:p>
    <w:p>
      <w:r>
        <w:rPr>
          <w:b/>
        </w:rPr>
        <w:t>E. 7.3</w:t>
      </w:r>
    </w:p>
    <w:p>
      <w:r>
        <w:t>Die Beschwerdeführenden sind im Besitz gültiger Reisepässe und es obliegt ihnen, bei der allenfalls notwendigen Beschaffung weiterer Reisepapiere mitzuwirken (Art. 8 Abs. 4 AslyG; vgl. dazu auch BVGE 2008/34 E. 12 S. 513 f.), weshalb der Vollzug der Wegweisung auch als möglich zu bezeichnen ist (Art. 83 Abs. 2 AuG).</w:t>
      </w:r>
    </w:p>
    <w:p>
      <w:r>
        <w:rPr>
          <w:b/>
        </w:rPr>
        <w:t>E. 7.4</w:t>
      </w:r>
    </w:p>
    <w:p>
      <w:r>
        <w:t>Der durch die Vorinstanz verfügte Wegweisungsvollzug ist damit zu bestätigen und eine Anordnung der vorläufigen Aufnahme der Beschwerdeführenden fällt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dessen Kosten von Fr. 600.- (Art. 1-3 des Reglements vom 21. Februar 2008 über die Kosten und Entschädigungen vor dem Bundesverwaltungsgericht [VGKE, SR 173.320.2) den Beschwerdeführenden aufzuerlegen (Art. 63 Abs. 1 und 5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