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D-6233/2018 vom 6. Dezember 2018</w:t>
      </w:r>
    </w:p>
    <w:p>
      <w:r>
        <w:t>Bundesverwaltungsgericht, 2018-12-06, DE</w:t>
      </w:r>
    </w:p>
    <w:p>
      <w:r>
        <w:rPr>
          <w:b/>
        </w:rPr>
        <w:t xml:space="preserve">Quelle: </w:t>
      </w:r>
      <w:r>
        <w:t>https://mcp.opencaselaw.ch/entscheid/bvger_D-6233_2018</w:t>
      </w:r>
    </w:p>
    <w:p>
      <w:r>
        <w:t>FR: TAF D-6233/2018 du 6 décembre 2018</w:t>
      </w:r>
    </w:p>
    <w:p>
      <w:r>
        <w:t>IT: TAF D-6233/2018 del 6 dicembre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w:t>
      </w:r>
    </w:p>
    <w:p>
      <w:r>
        <w:rPr>
          <w:b/>
        </w:rPr>
        <w:t>E. 4.2</w:t>
      </w:r>
    </w:p>
    <w:p>
      <w:r>
        <w:t>Das Rechtsinstitut des Familienasyls nach Art. 51 Abs. 1 und 4 AsylG bezweckt die Bewahrung von vorbestandenen Familiengemeinschaften beziehungsweise deren Wiederherstellung, sofern die Gemeinschaft alleine aufgrund der Fluchtumstände und somit unfreiwillig getrennt wurde. Es dient weder der Aufnahme von neuen respektive von zuvor noch gar nicht gelebten familiären Beziehungen noch der Wiederaufnahme von zuvor abgebrochenen Beziehungen (vgl. BVGE 2012/32 E. 5.4.2 m.w.H.). Die Familienzusammenführung im Sinne dieser Bestimmungen setzt somit voraus, dass eine Trennung durch die Fluchtumstände stattgefunden hat und im Zeitpunkt der Flucht bereits eine Familiengemeinschaft bestand.</w:t>
      </w:r>
    </w:p>
    <w:p>
      <w:r>
        <w:rPr>
          <w:b/>
        </w:rPr>
        <w:t>E. 5</w:t>
      </w:r>
    </w:p>
    <w:p>
      <w:r>
        <w:t>Der Beschwerdeführer verliess Syrien im (...) 2014 und lebte für etwa ein halbes Jahr in der Türkei. Zu diesem Zeitpunkt war er weder mit seiner heutigen Ehefrau verheiratet noch lebten die beiden in einem gemeinsamen Haushalt. Im (...) 2015 kehrte er für eine kurze Zeit nach Syrien zurück, um zu heiraten; er reiste danach aber umgehend wieder aus. Unter diesen Umständen kann nicht von einer gelebten Familiengemeinschaft im Zeitpunkt der Flucht ausgegangen werden. Gemäss der vorliegenden Aktenlage sowie den Angaben in der Beschwerdeschrift bestand die Verfolgungssituation des Beschwerdeführers bereits im (...) 2014. Aufgrund dieser verliess er Syrien, womit die Flucht zu einem Zeitpunkt stattfand, in dem er noch nicht verheiratet war. Die Ehegatten wurden somit nicht durch die Flucht getrennt, vielmehr wurde die Familiengemeinschaft erst nach der Flucht überhaupt begründet. Von einer vor der Flucht bestehenden eheähnlichen Gemeinschaft kann ebenfalls nicht ausgegangen werden, nachdem das Paar nie in einem gemeinsamen Haushalt zusammengelebt hat. Der Umstand, dass es sich vorliegend um eine Liebesheirat gehandelt habe und die Ehegatten schon vorher in einer Beziehung gewesen seien sowie Heiratspläne gehabt hätten, ist deshalb nicht von Relevanz (vgl. Entscheidungen und Mitteilungen der Schweizerischen Asylrekurskommission [EMARK] 2006 Nr. 8 E. 3.2). Auch wenn in der Beschwerdeschrift zutreffend festgehalten wird, dass die Dauer des ehelichen Zusammenlebens nicht massgebend ist, so ist doch zwingend erforderlich, dass bereits vor der Flucht eine Familiengemeinschaft bestand. Dies ist vorliegend nicht der Fall, nachdem vor der Ausreise des Beschwerdeführers aus Syrien im (...) 2014 noch keine Familiengemeinschaft bestand, welche durch die damalige Flucht getrennt worden wäre. Die Voraussetzungen von Art. 51 Abs. 1 und 4 AsylG sind deshalb nicht erfüllt und das SEM hat das Gesuch um Familienasyl zu Recht abgelehnt und B._______ die Einreise in die Schweiz verweigert. Es bleibt dem Beschwerdeführer jedoch unbenommen, bei den dafür zuständigen kantonalen Migrationsbehörden ein Gesuch um Familiennachzug gestützt auf Art. 44 AuG (SR 142.20) einzureichen (vgl. Urteile des BVGer D-2996/2015 vom 10. Februar 2016 E. 5.3 sowie D-5403/2018 vom 16. Oktober 2018 E. 5.4).</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Verfahrensausgang wären die Kosten grundsätzlich dem Beschwerdeführer aufzuerlegen (Art. 63 Abs. 1 VwVG). In seiner Beschwerdeeingabe ersuchte dieser jedoch um Gewährung der unentgeltlichen Rechtspflege und Verzicht auf die Erhebung eines Kostenvorschusses. Mit dem vorliegenden Entscheid ist das Gesuch um Verzicht auf einen Kostenvorschuss gegenstandslos geworden. Gemäss Art. 65 Abs. 1 VwVG wird einer Partei, die nicht über die erforderlichen Mittel verfügt, auf Antrag hin von der Bezahlung der Prozesskosten befreit, sofern ihr Begehren nicht aussichtslos erscheint. Aufgrund der eingereichten Fürsorgebestätigung vom 30. Oktober 2018 ist von der prozessualen Bedürftigkeit des Beschwerdeführers auszugehen. Die Beschwerdebegehren können nicht als zum Vornherein aussichtslos bezeichnet werden, weshalb das Gesuch um Gewährung der unentgeltlichen Prozessführung gutzuheissen ist und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