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D-6224/2008 vom 30. November 2009</w:t>
      </w:r>
    </w:p>
    <w:p>
      <w:r>
        <w:t>Bundesverwaltungsgericht, 2009-11-30, DE</w:t>
      </w:r>
    </w:p>
    <w:p>
      <w:r>
        <w:rPr>
          <w:b/>
        </w:rPr>
        <w:t xml:space="preserve">Quelle: </w:t>
      </w:r>
      <w:r>
        <w:t>https://mcp.opencaselaw.ch/entscheid/bvger_D-6224_2008</w:t>
      </w:r>
    </w:p>
    <w:p>
      <w:r>
        <w:t>FR: TAF D-6224/2008 du 30 novembre 2009</w:t>
      </w:r>
    </w:p>
    <w:p>
      <w:r>
        <w:t>IT: TAF D-6224/2008 del 30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Art. 108 AsylG i.V.m. Art. 37 VGG und Art. 48 Abs. 1,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vom Beschwerdeführer geltend gemachten Vorfluchtgründe als unglaubhaft erachtet worden seien. Im Rahmen der Begründung seines zweiten Asylgesuchs nehme er erneut Bezug auf seine angebliche Unterstützung des (...) im Sudan sowie auf Personen, die er schon im Sudan gekannt habe. In der Schweiz habe er diese Kontakte wieder aufgenommen und sei Mitglied des (...) geworden. Seine Aktivitäten belege er mit mehreren Beweismitteln. Er beschreibe das (...) als (...). Eigene Veranstaltungen würden kaum durchgeführt, sie schlössen sich Kundgebungen anderer Organisationen an. Er habe in seinem Umfeld für eine Teilnahme an den Kundgebungen mobilisiert, bei denen er nie eine besondere Funktion innegehabt habe. Auch sonst habe er für das (...) keine Aktivitäten ausgeübt, die zu öffentlichen Auftritten geführt oder eine gewisse politische Bedeutung erreicht hätten. Er ziehe bei den (...) Mitgliedern direkt Beiträge ein, die er dem Büro des (...) abliefere. Aus den vom Beschwerdeführer geschilderten exilpolitischen Aktivitäten könne kein Exponierungsgrad hergeleitet werden, der seitens des sudanesischen Regimes als Gefährdung für seinen Bestand angesehen werden könnte. Bei den von ihm besuchten Kundgebungen handle es sich meist um medial kaum beobachtete Anlässe, bei denen er keine spezielle Funktion ausgeübt habe. Seine Teilnahme an den Veranstaltungen vermöge nicht den Eindruck zu erwecken, dass er eine Person sei, die über klar definierte oppositionelle Vorstellungen und über ein persönliches Agitationspotenzial verfüge, welches zu einer Gefahr für das Regime Sudans werden könnte. Es sei vernünftigerweise davon auszugehen, dass die sudanesichen Behörden - sollten sie von diesen Veranstaltungen überhaupt Notiz genommen haben - über das Differenzierungsvermögen verfügten, dies zu erkennen. Es sei nicht davon auszugehen, dass der Beschwerdeführer bei einer Rückkehr in den Sudan gefährdet sei.</w:t>
      </w:r>
    </w:p>
    <w:p>
      <w:r>
        <w:rPr>
          <w:b/>
        </w:rPr>
        <w:t>E. 4.2</w:t>
      </w:r>
    </w:p>
    <w:p>
      <w:r>
        <w:t>In der Beschwerde wird geltend gemacht, das Büro des (...) in der Schweiz habe immer wieder Kontakt und Besuch von Vertretern aus Deutschland gehabt. Das Büro in Deutschland sei viel grösser. Der Präsident der (...)-Vertretung in der Schweiz kenne den Beschwerdeführer aus dem Sudan. Der Beschwerdeführer habe immer wieder an Demonstrationen teilgenommen und dies mit Fotografien belegt. Berichte zu Demonstrationen in der Schweiz würden jeweils im Internet publiziert. Da das (...) nur eine kleine Gruppe sei, seien die einzelnen Aktivisten gut erkennbar. Das sudanesische Regime beobachte die Aktivitäten von Sudanesen in Europa; jede Vertretung habe mindestens zwei Sicherheitsoffiziere, die Informationen auswerteten. Jede Veranstaltung, die einen Bezug zum Sudan habe, werde von Botschaftsangehörigen besucht, die dem Hauptquartier in Khartoum Bericht erstatteten. Nach dem Angriff der Rebellen auf Khartoum vom 10. Mai 2008 seien mehr als 3000 Darfuris verhaftet worden. Die Verhaftungen hätten einen ethnischen Hintergrund gehabt. Speziell Angehörige vom Stamm der Zaghawa seien verhaftet worden. Aufgrund seiner politischen Aktivitäten und seiner Herkunft aus Darfur müsse der Beschwerdeführer bei einer Rückkehr in den Sudan ernsthafte Nachteile befürchten. Er befürchte, bei einer Rückkehr verhaftet, gefoltert und getötet zu werden.</w:t>
      </w:r>
    </w:p>
    <w:p>
      <w:r>
        <w:rPr>
          <w:b/>
        </w:rPr>
        <w:t>E. 5.1</w:t>
      </w:r>
    </w:p>
    <w:p>
      <w:r>
        <w:t>Hinsichtlich der vom Beschwerdeführer geltend gemachten Vorfluchtgründe ist auf die in Rechtskraft erwachsene Verfügung des BFM vom 18. Januar 2008 zu verweisen. In dieser wurde überzeugend dargelegt, aus welchen Gründen die von ihm vorgebrachten Asylgründe nicht glaubhaft erscheinen. Diese Einschätzung wurde vom Bundesverwaltungsgericht in seiner Zwischenverfügung vom 22. Februar 2008 bereits im Rahmen einer summarischen Prüfung der Aktenlage geteilt. In der vorliegend zu beurteilenden Beschwerde vom 29. September 2008 wird nichts vorgebracht, das zu einer anderen Beurteilung der Glaubhaftigkeit der vorgebrachten Vorfluchtgründe führen könnte. Dem Beschwerdeführer ist es nicht gelungen, für den Zeitpunkt seiner Ausreise aus dem Sudan eine Verfolgung im Sinne von Art. 3 AsylG nachzuweisen oder glaubhaft zu machen. Vor diesem Hintergrund ist zu schliessen, dass er im Zeitpunkt der Ausreise aus dem Sudan in den Augen der sudanesischen Behörden als unbescholtener Bürger galt.</w:t>
      </w:r>
    </w:p>
    <w:p>
      <w:r>
        <w:rPr>
          <w:b/>
        </w:rPr>
        <w:t>E. 5.2</w:t>
      </w:r>
    </w:p>
    <w:p>
      <w:r>
        <w:t>Für die Beurteilung des Vorliegens der Flüchtlingseigenschaft ist jedoch nicht allein der Zeitpunkt der Ausreise aus dem Heimatland, sondern die Situation im Zeitpunkt des Asylentscheides massgebend (vgl. Entscheidungen und Mitteilungen der Schweizerischen Asylrekurskommission [EMARK] 2005 Nr. 18 E. 7.1 S. 164).</w:t>
      </w:r>
    </w:p>
    <w:p>
      <w:r>
        <w:rPr>
          <w:b/>
        </w:rPr>
        <w:t>E. 5.2.1</w:t>
      </w:r>
    </w:p>
    <w:p>
      <w:r>
        <w:t>Zunächst stellt sich die Frage des Bestehens objektiver Nachfluchtgründe, zumal Angehörige der Ethnie der Zaghawa im Rahmen kriegerischer Auseinandersetzungen auch nach der Ausreise des Beschwerdeführers zum Teil ernsthaften Nachteilen ausgesetzt waren beziehungsweise noch sind (vgl. EMARK 2006 Nr. 25). Da die von ihm geltend gemachten, konkret gegen ihn gerichteten Verfolgungsmassnahmen als unglaubhaft erachtet worden sind, ist zu prüfen, ob im heutigen Zeitpunkt jeder Angehörige dieser Ethnie begründete Furcht vor Verfolgung im Sudan haben muss. In diesem Zusammenhang ist festzustellen, dass die willkürlichen Übergriffe der so genannten Janjaweed-Milizen lokal beschränkt in der Region Darfur stattfinden. Aus den Länderberichten ergeben sich keine Hinweise darauf, dass sich Angehörige der betroffenen Minderheit im ganzen Sudan ernsthaften Nachteilen ausgesetzt sähen (vgl. MICHAEL KIRSCHNER und ANNA FACH, Sudan: Rückkehrgefährdung für Personen aus Darfur, Bern, 28. November 2006). Sicherheitsprobleme mit den Behörden können zwar im Einzelfall bestehen, aber sie betreffen nicht die Minderheit als Kollektiv. Es gibt Zaghawas, die sich bereits seit Jahrzehnten in anderen Landesteilen niedergelassen haben und von den Konflikten in Darfur kaum oder nur indirekt betroffen sind, was vom Beschwerdeführer selbst bestätigt worden ist (vgl. act. 10/21, S. 12). Allein aufgrund seiner ethnischen Zugehörigkeit muss der Beschwerdeführer ausserhalb Darfurs somit keine begründete Furcht vor Verfolgung haben.</w:t>
      </w:r>
    </w:p>
    <w:p>
      <w:r>
        <w:rPr>
          <w:b/>
        </w:rPr>
        <w:t>E. 5.2.2</w:t>
      </w:r>
    </w:p>
    <w:p>
      <w:r>
        <w:t>Nachfolgend ist zu prüfen, ob der Beschwerdeführer im Falle der Rückkehr in seine Heimat aufgrund subjektiver Nachfluchtgründe gefährdet wäre. Im Rahmen des zweiten Asylverfahrens hat er unter Vorlage zahlreicher Beweismittel auf fortgesetzte und seines Erachtens erhebliche politische Aktivitäten in der Schweiz verwiesen, aufgrund welcher er in seiner Heimat flüchtlingsrechtlich relevante Verfolgung zu gewärtigen habe.</w:t>
      </w:r>
    </w:p>
    <w:p>
      <w:r>
        <w:rPr>
          <w:b/>
        </w:rPr>
        <w:t>E. 5.2.2.1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Sinne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5.2.2.2</w:t>
      </w:r>
    </w:p>
    <w:p>
      <w:r>
        <w:t>Der Beschwerdeführer hat sich wie zahlreiche seiner im Exil lebenden Landsleute politisch engagiert. Gemäss seinen Ausführungen bei der Anhörung vom 6. August 2008 und den im vorinstanzlichen Verfahren und im Beschwerdeverfahren eingereichten Eingaben und Beweismitteln hat er in der Schweiz an mehreren Konferenzen, Veranstaltungen und Kundgebungen teilgenommen. An diesen wurde auf die allgemeine Lage im Sudan und die dortige Menschenrechtslage (speziell in Darfur) hingewiesen beziehungsweise gegen das sudanesische Regime demonstriert. Während der Treffen, Veranstaltungen und Kundgebungen wurden Fotografien gemacht, auf denen der Beschwerdeführer erkennbar ist. Einige dieser Fotografien wurden im Internet veröffentlicht (...). Zudem hat er im Büro des (...) in der Schweiz den Posten des Kassiers inne.</w:t>
      </w:r>
    </w:p>
    <w:p>
      <w:r>
        <w:rPr>
          <w:b/>
        </w:rPr>
        <w:t>E. 5.2.2.3</w:t>
      </w:r>
    </w:p>
    <w:p>
      <w:r>
        <w:t>Das Interesse der sudanesischen Behörden ist gemäss den Erkenntnissen der schweizerischen Asylbehörden auf eigentliche staatsgefährdende Regimegegner ausgerichtet; diese werden mit den zur Verfügung stehenden, beschränkten Personalressourcen überwacht, soweit dies überhaupt möglich ist. Für die Beobachtung von unterschwelligen Aktivitäten seiner emigrierten Landsleute, mit denen diese häufig ein Bleiberecht in ihrem Zielland anvisieren, fehlen dem sudanesischen Staat die Ressourcen. Der Beschwerdeführer gehört als Mitglied des (...), welche mit anderen Oppositionsparteien Veranstaltungen und Kundgebungen durchführt, mit überwiegender Wahrscheinlichkeit nicht zu den zu überwachenden Zielpersonen, verfügt er doch klarerweise über kein herausragendes staatsfeindliches Profil. Daran ändert auch nichts, dass er als Kassier von den Mitgliedern des (...) Geldbeträge erhält, die er an den Präsidenten weiterleitet, und von der (...) als aktives Kadermitglied bezeichnet wird (vgl. die am 18. Mai 2009 beim Bundesverwaltungsgericht eingereichte Bestätigung des [...]). Es kann nicht davon ausgegangen werden, dass die vom Beschwerdeführer geschilderten exilpolitischen Aktivitäten von den sudanesischen Behörden als staatsgefährdend und damit als Bedrohung wahrgenommen werden. Auch der Umstand, dass er am 1. August 2008 an einer vom sudanesischen Botschafter in der Schweiz organisierten Konferenz teilgenommen hat (vgl. Beschwerde S. 4), vermag nicht zur Schlussfolgerung zu führen, er sei vom sudanesischen Regime als Bedrohung wahrgenommen worden. Insgesamt gesehen hat sich der Beschwerdeführer nicht in einer Art und Weise exponiert, dass er von den heimatlichen Behörden als staatsgefährdend qualifiziert würde. Vor diesem Hintergrund besteht kein hinreichender Anlass zur Annahme, dass er wegen seiner exilpolitischen Aktivitäten bei einer Rückkehr in den Sudan mit ernsthaften Nachteilen von Seiten des sudanesischen Regimes zu rechnen hätte. Bei dieser Sachlage ist die geltend gemachte Furcht vor künftiger Verfolgung als unbegründet zu würdigen, weshalb das Vorliegen von subjektiven Nachfluchtgründen im Sinne von Art. 54 AsylG zu verneinen ist.</w:t>
      </w:r>
    </w:p>
    <w:p>
      <w:r>
        <w:rPr>
          <w:b/>
        </w:rPr>
        <w:t>E. 5.3</w:t>
      </w:r>
    </w:p>
    <w:p>
      <w:r>
        <w:t>In Würdigung der gesamten Umstände und Vorbringen des Beschwerdeführers ist zusammenfassend festzustellen, dass dieser keine Gründe nach Art. 3 AsylG nachweisen oder glaubhaft machen kann und damit die Voraussetzungen für die Zuerkennung der Flüchtlingseigenschaft nicht erfüllt sind. Es erübrigt sich, auf die weiteren Ausführungen in der Beschwerde und die eingereichten Beweismittel im Einzelnen einzugehen, da diese an der vorgenommenen Würdigung des Sachverhalts nicht zu ändern vermögen. Die Vorinstanz hat demnach das zweite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Recueil des arrêts et décisions 2001-I, S. 327 ff.), was im unter Hinweis auf die vorstehenden Erwägungen nicht gelungen ist.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Den Erkenntnissen des Bundesverwaltungsgerichts zufolge besteht im Sudan ausserhalb der Region Darfur keine Situation allgemeiner Gewalt. Es sind deshalb derzeit keine konkreten Anhaltspunkte dafür ersichtlich, dass der Beschwerdeführer bei einer Rückführung in den Sudan einer konkreten Gefährdung im Sinne von Art. 83 Abs. 4 AuG ausgesetzt wäre. Dementsprechend ist der Wegweisungsvollzug dorthin als generell zumutbar zu qualifizieren.</w:t>
      </w:r>
    </w:p>
    <w:p>
      <w:r>
        <w:rPr>
          <w:b/>
        </w:rPr>
        <w:t>E. 7.4.2</w:t>
      </w:r>
    </w:p>
    <w:p>
      <w:r>
        <w:t>Ferner sind auch keine individuellen, in der Person des Beschwerdeführers gelegenen Gründe ersichtlich, die den Wegweisungsvollzug als unzumutbar erscheinen lassen würden. Gemäss eigenen Angaben besuchte er zwar nur ein Jahr lang die Schule, er spricht jedoch fliessend arabisch, da er im Kleinkindesalter aus Darfur wegzog und in C._______ und F._______ aufwuchs. Er verfügt über Berufserfahrung im Kleiderhandel und ein soziales Beziehungsnetz, was im eine Reintegration im Heimatland und den Aufbau einer Existenz erleichtern wird. Nach dem Gesagten erweist sich Vollzug der Wegweisung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hinsichtlich der Ziffern 1 bis 5 der angefochtenen Verfügung abzuweisen.</w:t>
      </w:r>
    </w:p>
    <w:p>
      <w:r>
        <w:rPr>
          <w:b/>
        </w:rPr>
        <w:t>E. 10.1</w:t>
      </w:r>
    </w:p>
    <w:p>
      <w:r>
        <w:t>Der Beschwerdeführer ersuchte in seiner Eingabe an das BFM vom 21. Mai 2008 um Gewährung der unentgeltlichen Prozessführung und um Verzicht auf die Erhebung eines Kostenvorschusses (Antrag 5, Eingabe S. 2). Auf Seite 5 der Beschwerde begründete er das Gesuch um Verzicht auf die Erhebung des Kostenvorschusses mit seiner Fürsorgeabhängigkeit und der Nichtaussichtslosigkeit des Gesuchs. Anzeichen dafür, dass er damit nicht auch das Gesuch um Gewährung der unentgeltlichen Prozessführung begründen wollte, sind den Akten nicht zu entnehmen.</w:t>
      </w:r>
    </w:p>
    <w:p>
      <w:r>
        <w:rPr>
          <w:b/>
        </w:rPr>
        <w:t>E. 10.2</w:t>
      </w:r>
    </w:p>
    <w:p>
      <w:r>
        <w:t>Das Bundesamt äusserte sich in der angefochtenen Verfügung nicht zum gestellten Gesuch, sondern hielt lediglich fest, dass gemäss Art. 17b Abs. 4 AsylG von einer Person, die nach rechtskräftigem Abschluss ihres Asyl- und Wegweisungsverfahrens erneut ein Asylgesuch stelle, eine Gebühr verlangt werden könne, sofern dieses abgelehnt oder nicht darauf eingetreten werde. Weil das vorliegende Gesuch abgewiesen werden müsse, sei eine Gebühr zu erheben, die gemäss Art. 7a Abs. 1 der Asylverordnung 1 vom 11. August 1999 über Verfahrensfragen (AsylV 1, SR 142.311) Fr. 600.-- betrage.</w:t>
      </w:r>
    </w:p>
    <w:p>
      <w:r>
        <w:rPr>
          <w:b/>
        </w:rPr>
        <w:t>E. 10.3</w:t>
      </w:r>
    </w:p>
    <w:p>
      <w:r>
        <w:t>Gemäss Art. 17b Abs. 4 i.V.m. Abs. 2 AsylG befreit das Bundesamt nach Einreichung eines zweiten Asylgesuchs auf Gesuch hin von der Bezahlung von Verfahrenskosten, sofern die gesuchstellende Person bedürftig ist und ihre Begehren nicht von vornherein aussichtslos erscheinen. Der Beschwerdeführer hat ein entsprechendes Gesuch gestellt und dies mit seiner Bedürftigkeit und der Nichtaussichtslosigkeit seiner Begehren begründet. Da das BFM sein Gesuch nicht geprüft hat, ist die Ziffer 6 des Dispositivs der angefochtenen Verfügung aufzuheben und das BFM anzuweisen, das Gesuch um Gewährung der unentgeltlichen Prozessführung zu prüfen und in diesem Punkt neu zu verfügen.</w:t>
      </w:r>
    </w:p>
    <w:p>
      <w:r>
        <w:rPr>
          <w:b/>
        </w:rPr>
        <w:t>E. 11</w:t>
      </w:r>
    </w:p>
    <w:p>
      <w:r>
        <w:t>Bei diesem Ausgang des Verfahrens wären die Kosten dem Beschwerdeführer aufzuerlegen (Art. 63 Abs. 1 und 5 VwVG). Da er fürsorgeabhängig ist und sich die Beschwerde nicht als aussichtslos darstellte, wurde ihm mit Zwischenverfügung vom 3. Oktober 2008 die unentgeltliche Rechtspflege gemäss Art. 65 Abs. 1 VwVG gewährt. Da der Beschwerdeführer nach wie vor keiner Arbeitstätigkeit nachgeht, sind die Voraussetzungen zur Gewährung der unentgeltlichen Rechtspflege nach wie vor erfüllt, weshalb keine Kosten zu erheben sind.</w:t>
      </w:r>
    </w:p>
    <w:p>
      <w:r>
        <w:rPr>
          <w:b/>
        </w:rPr>
        <w:t>E. 12</w:t>
      </w:r>
    </w:p>
    <w:p>
      <w:r>
        <w:t>Dem Beschwerdeführer ist hinsichtlich des Durchdringens in der Frage des Kostenpunktes keine Parteientschädigung auszurichten, da der entsprechende Aufwand hinsichtlich dieser Rüge keine verhältnismässig hohen Kosten mit sich brachte (vgl. S. 6 der Beschwerde;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