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D-6220/2008 vom 15. Dezember 2008</w:t>
      </w:r>
    </w:p>
    <w:p>
      <w:r>
        <w:t>Bundesverwaltungsgericht, 2008-12-15, DE</w:t>
      </w:r>
    </w:p>
    <w:p>
      <w:r>
        <w:rPr>
          <w:b/>
        </w:rPr>
        <w:t xml:space="preserve">Quelle: </w:t>
      </w:r>
      <w:r>
        <w:t>https://mcp.opencaselaw.ch/entscheid/bvger_D-6220_2008</w:t>
      </w:r>
    </w:p>
    <w:p>
      <w:r>
        <w:t>FR: TAF D-6220/2008 du 15 décembre 2008</w:t>
      </w:r>
    </w:p>
    <w:p>
      <w:r>
        <w:t>IT: TAF D-6220/2008 del 15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erst durch ihre Ausreise aus dem Heimat- oder Herkunftsstaat oder wegen ihres Verhaltens nach der Ausreise Flüchtlinge im Sinne von Art. 3 AsylG wurden (Art. 54 AsylG).</w:t>
      </w:r>
    </w:p>
    <w:p>
      <w:r>
        <w:rPr>
          <w:b/>
        </w:rPr>
        <w:t>E. 5.1</w:t>
      </w:r>
    </w:p>
    <w:p>
      <w:r>
        <w:t>In der Rechtsmitteleingabe hält der Beschwerdeführer an der Glaubhaftigkeit seiner Vorbringen fest. Er macht durch seinen Rechtsvertreter insbesondere geltend, nach der Ablehnung des ersten Heiratsantrages habe er gewusst, dass dies einen Racheakt der Familie - namentlich die Tötung seiner damaligen Freundin - zur Wiederherstellung der Familienehre nach sich ziehen würde. Der zweite Heiratsantrag sei die einzige Chance gewesen, seine damalige Freundin noch zu retten. Zudem gehe aus seinen Ausführungen, entgegen der Ansicht des BFM, klar hervor, wie hilflos er sich nach dem Tod seiner Frau gefühlt habe. Im Weiteren handle es sich bei der Bedrohung des Beschwerdeführers durch die Familie seiner verstorbenen Frau um eine nicht staatliche Verfolgung. Diese sei insofern asylrelevant, als der Staat ihm jeglichen Schutz versage beziehungsweise es unterlasse, die Aggressoren zu bestrafen. Der Beschwerdeführer stellte dem Gericht ein Gutachten der SFH-Länderanalyse in Aussicht, das die Asylrelevanz der geltend gemachten nicht staatlichen Verfolgung beweisen solle. Was die subjektiven Nachfluchtgründe betrifft, bringt der Beschwerdeführer vor, wenn er allenfalls gerichtlich oder "offiziell" nicht als gesuchte Person erscheine, bedeute dies in keiner Art und Weise, dass er nicht durch die zahlreichen syrischen Geheimdienste gesucht werde. Die Botschaftsabklärung könne daher nicht als Begründung herangezogen werden, in seinem Heimatland drohe ihm keine Verfolgung. Aufgrund seiner bisherigen Verhaftungen und Misshandlungen in Syrien sei ohne Weiteres davon auszugehen, dass er beim syrischen Geheimdienst bereits als aktiver Kurde registriert worden sei. Wie ihm sein Vater mitgeteilt habe, hätten denn auch bereits Angehörige des syrischen Geheimdienstes nach ihm gesucht. Da er insgesamt über ein genügendes politisches Profil verfüge, hätte er bei einer allfälligen Rückkehr in sein Heimatland Verfolgungsmassnahmen zu befürchten. Ausserdem sei das Bundesverwaltungsgerichts im Urteil E-6722/2006 vom 1. Juli 2008 zur Auffassung gelangt, dass die syrischen Geheimdienste die politischen Aktivitäten ihrer Staatsangehörigen im Ausland beobachten würden und dass Oppositionelle bei der Rückkehr Verhör und Verfolgung zu befürchten hätten, mithin exilpolitische Aktivitäten als asylrelevant gelten und zur Feststellung der Flüchtlingseigenschaft führen würden.</w:t>
      </w:r>
    </w:p>
    <w:p>
      <w:r>
        <w:rPr>
          <w:b/>
        </w:rPr>
        <w:t>E. 5.2.1</w:t>
      </w:r>
    </w:p>
    <w:p>
      <w:r>
        <w:t>Mit Beschluss vom 8. April 2008 hat die Vorinstanz ihre bisherige Amtspraxis, bestimmte Personengruppen aus Syrien in der Regel infolge Unzumutbarkeit des Wegweisungsvollzugs vorläufig aufzunehmen, aufgrund neuester Erkenntnisse zur Lage in Syrien aufgehoben. Diese Änderung der Wegweisungspraxis für syrische Asylsuchende entspricht der Praxis der europäischen Staaten und betrifft unter anderem Kurden mit Herkunft Nordsyrien. Da es sich beim Beschwerdeführer um einen aus der nördlichen Provinz (...) stammenden syrischen Staatsangehörigen kurdischer Ethnie handelt, gehört er zu einer der von der Praxisänderung des BFM betroffenen Personengruppen.</w:t>
      </w:r>
    </w:p>
    <w:p>
      <w:r>
        <w:rPr>
          <w:b/>
        </w:rPr>
        <w:t>E. 5.2.2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der Bundesverfassung der Schweizerischen Eidgenossenschaft vom 18. April 1999 (BV, SR 101) - auch das Recht, an der Feststellung des Sachverhalts mitzuwirken (vgl. Entscheidungen und Mitteilungen der ARK [EMARK] 2003 Nr. 13, EMARK 2004 Nr. 16 E. 7a, EMARK 2004 Nr. 30 E. 5.3.1). Gemäss Art. 35 Abs. 1 VwVG sind Verfügungen sodann zu begründen. Das Bundesgericht bezeichnet die Pflicht der Behörden, ihre Entscheide zu begründen als Konkretisierung des verfassungsrechtlichen Anspruchs auf rechtliches Gehör (vgl. BGE 128 V 272 E. 5b; Art. 29 Abs. 2 BV). Die Anforderungen an die Begründungspflicht sind unter Berücksichtigung aller Umstände des Einzelfalles sowie der Interessen der Betroffenen festzulegen. Die Begründung eines Entscheids muss jedenfalls so abgefasst sein, dass ihn die Betroffenen gegebenenfalls sachgerecht anfechten oder - nach Eintritt der Rechtskraft - ein Wiedererwägungs- beziehungsweise Revisionsgesuch hinlänglich begründen können und die Rechtsmittelinstanz in der Lage ist, die Rechtmässigkeit eines angefochtenen Entscheids zu überprüfen. Dies ist nur möglich, wenn Adressatinnen und Adressaten sowie die Rechtsmittelinstanz sich über die Tragweite des Entscheids ein Bild machen können. Wichtigstes Messkriterium für die erforderliche Begründungsdichte bildet die Eingriffsschwere. Je einschneidender eine behördliche Anordnung in die Rechtspositionen der betroffenen Personen eingreifen kann, desto einlässlicher ist sie zu begründen. Dies gilt es insbesondere bei ausländerrechtlichen Fernhaltemassnahmen zu beachten (vgl. Lorenz Kneubühler in: Auer/Müller/Schindler [Hrsg.], VwVG, Kommentar zum Bundesgesetz über das Verwaltungsverfahren, Zürich/St. Gallen 2008, Rn. 4-6, 10 zu Art. 35 VwVG).</w:t>
      </w:r>
    </w:p>
    <w:p>
      <w:r>
        <w:rPr>
          <w:b/>
        </w:rPr>
        <w:t>E. 5.2.3</w:t>
      </w:r>
    </w:p>
    <w:p>
      <w:r>
        <w:t>In der angefochtenen Verfügung führt die Vorinstanz zur Zumutbarkeit des Wegweisungsvollzugs des Beschwerdeführers in sein Heimatland lediglich aus, weder die in Syrien herrschende politische Situation noch andere Gründe würden gegen die Rückführung sprechen. Der Verfügung lässt sich demgegenüber kein expliziter Hinweis auf die erfolgte Praxisänderung des BFM entnehmen. Da in casu der Beschwerdeführer aus der Schweiz weggewiesen werden soll, mithin es sich um eine einschneidende behördliche Anordnung in seine Rechtsposition handelt, sind im Sinne der obgenannten Ausführungen erhöhte Anforderungen an die Begründungsdichte zu stellen. Demzufolge hätte das BFM in der angefochtenen Verfügung ausdrücklich ausführen müssen, dass es seine Praxis geändert hat und der Beschwerdeführer davon betroffen ist. Im Weiteren hätte die Vorinstanz dem Beschwerdeführer bekannt machen müssen, aufgrund welcher Erkenntnisse sie nunmehr den Wegweisungsvollzug nach Syrien generell als zumutbar erachtet, mithin die vorläufige Aufnahme nicht mehr anordnet. Durch die Verletzung der Begründungspflicht hat das BFM dem Beschwerdeführer eine sachgerechte Anfechtung der Verfügung erschwert und der Beschwerdeinstanz verunmöglicht, sich ein Bild über die Gründe der Praxisänderung zu machen. Darüber hinaus hat die Vorinstanz den rechtserheblichen Sachverhalt unvollständig abgeklärt, mithin den Untersuchungsgrundsatz verletzt, zumal aus der angefochtenen Verfügung nicht klar ersichtlich ist, aus welchen allgemeinen beziehungsweise individuellen Gründen die Vorinstanz eine Rückführung des Beschwerdeführers in sein Heimatland als zumutbar erachtet (vgl. Art. 6 AsylG i.V.m. Art. 12 VwVG, Art. 106 Abs. 1 Bst. b AsylG).</w:t>
      </w:r>
    </w:p>
    <w:p>
      <w:r>
        <w:rPr>
          <w:b/>
        </w:rPr>
        <w:t>E. 6</w:t>
      </w:r>
    </w:p>
    <w:p>
      <w:r>
        <w:t>Angesichts dieser Umstände ist die Beschwerde im Sinne der Erwägungen gutzuheissen, die angefochtene Verfügung vom 26. August 2008 aufzuheben und die Sache zur Neubeurteilung an das BFM zurückzuweisen. Die Vorinstanz ist aufzufordern, ihre Begründung im Sinne der obigen Erwägungen ausführlich darzulegen.</w:t>
      </w:r>
    </w:p>
    <w:p>
      <w:r>
        <w:rPr>
          <w:b/>
        </w:rPr>
        <w:t>E. 7</w:t>
      </w:r>
    </w:p>
    <w:p>
      <w:r>
        <w:t>Bei diesem Ausgang des Beschwerdeverfahrens sind keine Verfahrenskosten aufzuerlegen (Art. 63 Abs. 1 VwVG). Der am 18. Oktober 2008 geleistete Kostenvorschuss von Fr. 600.-- ist dem Beschwerdeführer zurückzuerstatten.</w:t>
      </w:r>
    </w:p>
    <w:p>
      <w:r>
        <w:rPr>
          <w:b/>
        </w:rPr>
        <w:t>E. 8</w:t>
      </w:r>
    </w:p>
    <w:p>
      <w:r>
        <w:t>Dem rechtlich vertretenen Beschwerdeführer ist angesichts seines Obsiegens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auf Fr. 500.-- (inkl. MwSt und Auslagen) festzusetzen (Art. 14 Abs. 2 VGKE), weshalb auf die Einforderung einer Kostennote verzichtet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