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D-6218/2016 vom 23. November 2016</w:t>
      </w:r>
    </w:p>
    <w:p>
      <w:r>
        <w:t>Bundesverwaltungsgericht, 2016-11-23, DE</w:t>
      </w:r>
    </w:p>
    <w:p>
      <w:r>
        <w:rPr>
          <w:b/>
        </w:rPr>
        <w:t xml:space="preserve">Quelle: </w:t>
      </w:r>
      <w:r>
        <w:t>https://mcp.opencaselaw.ch/entscheid/bvger_D-6218_2016</w:t>
      </w:r>
    </w:p>
    <w:p>
      <w:r>
        <w:t>FR: TAF D-6218/2016 du 23 novembre 2016</w:t>
      </w:r>
    </w:p>
    <w:p>
      <w:r>
        <w:t>IT: TAF D-6218/2016 del 23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w:t>
      </w:r>
    </w:p>
    <w:p>
      <w:r>
        <w:t>Das SEM ging im angefochtenen Entscheid offensichtlich davon aus, dass die LTTE-Vergangenheit des Beschwerdeführers nicht in Zweifel zu ziehen sei. Diese Sichtweise ist zu teilen. Er war in der Lage, seine diesbezüglichen Funktionen und Aktivitäten ausführlich und nachvollziehbar zu schildern (vgl. A 15/21 Antworten 95 ff.). Unbestritten ist ferner, dass der Beschwerdeführer nach der 2009 erfolgten Entlassung aus dem Flüchtlingslager vorerst offenbar ohne relevante (para)staatliche Verfolgung in D._______ leben konnte, und zwar bis zum November 2014. Den Vorfall vom (...). November 2014, bei welchem er vom CID abgeholt, verhört und misshandelt worden sei, erachtet das SEM demgegenüber für unglaubhaft. Auch die für den Folgezeitraum geltend gemachten Nachforschungen unter Einbezug von Angehörigen glaubt die Vorinstanz nicht. Der Beschwerdeführer war aber in der Lage, seine Mitnahme anlässlich der BzP und der Anhörung in den wesentlichen Punkten übereinstimmend zu schildern. Sowohl das Datum wie auch die Dauer, die gestellten Fragen der Sicherheitskräfte, seine Antworten, die erlittenen Misshandlungen und die Umstände der Entlassung weisen keine signifikanten Abweichungen auf. Der Vorhalt, er habe die Haft auch anlässlich der Anhörung ohne überzeugende Realkennzeichen und nicht hinreichend substanziiert zu Protokoll gegeben, überzeugt nicht. Vielmehr beantwortete er auch Nachfragen zum Geschehenen angemessen detailliert und erweckte so nicht den Eindruck eines blossen Verfolgungskonstrukts (vgl. A 15/21 Antworten 39 ff.). Beispielsweise verdeutlichte er, dass er beim Verhör nicht ausführlich zu seinen Brüdern befragt worden sei, da diese - im Gegensatz zu ihm - an einem Rehabilitationsprogramm teilgenommen hätten. Im Weiteren vermochte er auch den Ablauf der Verhöre detailliert und nachvollziehbar darzulegen. Die vom SEM erwähnten Unglaubhaftigkeitselemente betreffen nicht die obenerwähnten Kernpunkte und sind in der Rechtsschrift grundsätzlich zutreffend für nicht relevant bezeichnet worden. Die Vorinstanz verzichtete in der Vernehmlassung darauf, sich mit den nachvollziehbaren Erklärungen des Beschwerdeführers zu befassen. Die Relevanz der Abweichungen in den Aussagen ist im Übrigen auch insofern zu relativieren, als die BzP grundsätzlich lediglich einen summarischen Charakter aufweist und die Anhörung erst neun Monate nach der Befragung stattfand. Dass eine Person, welche eine Nacht lang durch die Sicherheitskräfte festgehalten und misshandelt wurde, zwei Jahre nach dem Erlebten sämtliche Details übereinstimmend schildert, konnte mithin nicht erwartet werden. Vielmehr hätte eine absolute Übereinstimmung allenfalls auch als Indiz für einen auswendig gelernten Sachverhaltsvortrag gewertet werden müssen.</w:t>
      </w:r>
    </w:p>
    <w:p>
      <w:r>
        <w:rPr>
          <w:b/>
        </w:rPr>
        <w:t>E. 4.1</w:t>
      </w:r>
    </w:p>
    <w:p>
      <w:r>
        <w:t>Zusammenfassend ist entgegen den Erwägungen des SEM glaubhaft, dass der Beschwerdeführer wegen seiner LTTE-Vergangenheit 2014 aus ermittlungstaktischen Gründen ins Visier der Sicherheitskräfte geriet, den Wohnort verliess und Angehörige in der Folge seinetwegen befragt wurden. Die offenbar legale Ausreise vermag an dieser Einschätzung nichts zu ändern, da allein dadurch nicht auf eine fehlende Verfolgung geschlossen werden kann (vgl. Urteil des Bundesverwaltungsgerichts E-5274/2008 vom 31. Oktober 2012 E. 3.3.2).</w:t>
      </w:r>
    </w:p>
    <w:p>
      <w:r>
        <w:rPr>
          <w:b/>
        </w:rPr>
        <w:t>E. 5</w:t>
      </w:r>
    </w:p>
    <w:p>
      <w:r>
        <w:t>Gemäss dem zur Publikation vorgesehenen Urteil E-1866/2015 vom 15. Juli 2016 vermag eine geltend gemachte Verbindung zu den LTTE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Es sind keineswegs nur in besonderem Masse exponierte Personen betroffen. So ist in diesem Zusammenhang darauf hinzuweisen, dass die sri-lankische Regierung auch sieben Jahre nach Ende des Bürgerkrieges im Jahr 2009 noch über ein Wiederaufleben respektive Wiedererstarken der LTTE besorgt ist und jeglichen Verdacht entsprechender Bestrebungen mit grösster Aufmerksamkeit verfolgt.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(vgl. E. 8.5.3).</w:t>
      </w:r>
    </w:p>
    <w:p>
      <w:r>
        <w:rPr>
          <w:b/>
        </w:rPr>
        <w:t>E. 6.1</w:t>
      </w:r>
    </w:p>
    <w:p>
      <w:r>
        <w:t>Das SEM hielt im angefochtenen Entscheid fest, der Beschwerdeführer habe im Falle der Rückkehr begründete Furcht, Nachteile im Sinne von Art. 3 AsylG zu erleiden, und erfülle die Flüchtlingseigenschaft. Eine weitergehende Analyse des Risikoprofils kann mithin unterbleiben. Hingegen wurde die Asylgewährung gestützt auf Art. Art. 54 AsylG verweigert.</w:t>
      </w:r>
    </w:p>
    <w:p>
      <w:r>
        <w:rPr>
          <w:b/>
        </w:rPr>
        <w:t>E. 6.2</w:t>
      </w:r>
    </w:p>
    <w:p>
      <w:r>
        <w:t>Gemäss vorstehenden Erwägungen ist es dem Beschwerdeführer jedoch gelungen, die Haft vom November 2014 glaubhaft zu machen. Auch eine erneute Festnahme verbunden mit Haft und Misshandlungen konnte im Zeitpunkt seiner Ausreise nicht mit genügender Wahrscheinlichkeit ausgeschlossen werden. Die asylbeachtliche Verfolgungsintensität, Zielgerichtetheit und Verfolgungsmotivation stehen ausser Zweifel. Demzufolge ist entgegen der vorinstanzlichen Sichtweise von asylrelevanten Vorfluchtgründen beziehungsweise einer begründeten Furcht vor solchen Nachteilen auszugehen. Die Asylgewährung wurde zu Unrecht verweigert.</w:t>
      </w:r>
    </w:p>
    <w:p>
      <w:r>
        <w:rPr>
          <w:b/>
        </w:rPr>
        <w:t>E. 7</w:t>
      </w:r>
    </w:p>
    <w:p>
      <w:r>
        <w:t>Aus den vorstehenden Erwägungen ergibt sich, dass der Beschwerdeführer nicht nur die Flüchtlingseigenschaft im Sinne von Art. 3 AsylG, sondern auch die Anforderungen für die Asylgewährung erfüllt. Folglich ist die Beschwerde insofern gutzuheissen, als damit die Aufhebung der angefochtenen Verfügung - soweit die Ablehnung des Asylgesuchs und die Anordnung der Wegweisung betreffend - beantragt wird. Das SEM ist anzuweisen, dem Beschwerdeführer in der Schweiz Asyl zu gewähren. Bei dieser Sachlage kann da­von abgesehen wer­den, auf weitere Beschwerdevorbringen und die Beweismittel näher einzugehen.</w:t>
      </w:r>
    </w:p>
    <w:p>
      <w:r>
        <w:rPr>
          <w:b/>
        </w:rPr>
        <w:t>E. 8.1</w:t>
      </w:r>
    </w:p>
    <w:p>
      <w:r>
        <w:t>Bei diesem Ausgang des Verfahrens sind keine Kosten zu erheben (Art. 63 Abs. 3 VwVG i.V.m. Art. 37 VGG).</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Aufgrund der fehlenden Rechtsvertretung des Beschwerdeführers dürften keine solchen Kosten entstanden sein,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