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D-6214/2014 vom 2. Februar 2017</w:t>
      </w:r>
    </w:p>
    <w:p>
      <w:r>
        <w:t>Bundesverwaltungsgericht, 2017-02-02, DE</w:t>
      </w:r>
    </w:p>
    <w:p>
      <w:r>
        <w:rPr>
          <w:b/>
        </w:rPr>
        <w:t xml:space="preserve">Quelle: </w:t>
      </w:r>
      <w:r>
        <w:t>https://mcp.opencaselaw.ch/entscheid/bvger_D-6214_2014</w:t>
      </w:r>
    </w:p>
    <w:p>
      <w:r>
        <w:t>FR: TAF D-6214/2014 du 2 février 2017</w:t>
      </w:r>
    </w:p>
    <w:p>
      <w:r>
        <w:t>IT: TAF D-6214/2014 del 2 febbraio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Über die gleichzeitig mit der vorliegend zu beurteilenden Rechtsmitteleingabe und im gleichen Schriftstück anhängig gemachte Beschwerde betreffend die Ehefrau und die Tochter des Beschwerdeführers (G._______ und H._______; Geschäfts-Nr. D-6216/2014; N_______) ist angesichts des von der Vorinstanz separat gefällten Asylentscheides und der Übersichtlichkeit halber in einem getrennten Urteil zu befinden.</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Zur Begründung ihres ablehnenden Asylentscheides hielt die Vor-instanz im Wesentlichen fest, bei den vom Beschwerdeführer geltend gemachten behördlichen Behelligungen (polizeiliche Befragungen nach Besuchen seiner Frau im Gefängnis und nach deren Ausreise aus der Türkei; erniedrigende Polizeikontrollen und -befragungen infolge seiner kurdischen Volkszugehörigkeit) handle es sich offenkundig nicht um ernsthafte Nachteile. Diese seien vielmehr als Unannehmlichkeiten zu qualifizieren, denen von der Eingriffsintensität her keine Asylrelevanz zukomme. Weiter befürchte er zunächst erneute polizeiliche Behelligungen im bisherigen Rahmen und bringe vor, er sei durch Angehörige der staatlichen Sicherheitskräfte darauf hingewiesen worden, man wisse um den ausländischen Aufenthaltsort seiner Frau, diese solle die Türkei im Ausland jedoch nicht anschwärzen und sich dort nicht politisch betätigen, ansonsten dies auch für ihn Nachteile haben könne. Diesbezüglich seien keine Hinweise ersichtlich, dass sich die Frau des Beschwerdeführers seit ihrer Ankunft in der Schweiz politisch betätigen würde. Seit der Ausreise seiner Frau aus der Türkei im Jahre 2010 sei er denn auch nie - über die üblichen Befragungen und allgemeinen Ermahnungen hinaus - mit weiteren auf seine Frau bezogenen Vorwürfen oder mit weitergehenden Nachteilen im Sinne einer Reflexverfolgung konfrontiert worden. Daher sei das Bestehen einer begründeten Furcht vor ernsthaften Nachteilen klarerweise zu verneinen.</w:t>
      </w:r>
    </w:p>
    <w:p>
      <w:r>
        <w:rPr>
          <w:b/>
        </w:rPr>
        <w:t>E. 3.2</w:t>
      </w:r>
    </w:p>
    <w:p>
      <w:r>
        <w:t>Demgegenüber verwies der Beschwerdeführer in seiner Rechtsmitteleingabe im Wesentlichen auf die Verfolgungssituation seiner Frau, wonach diese Nachteile im Sinne von Art. 3 Abs. 1 und 2 AsylG erlitten und begründete Furcht habe, solchen auch in Zukunft ausgesetzt zu werden. In Bezug auf seine Person würden auch seine Schilderungen aufzeigen, dass die Verfolgung seiner Frau bis zum heutigen Tag andauere und insofern als "aktuell" verstanden werden müsse, auch wenn die von ihm erlittenen behördlichen Behelligungen für die Asylgewährung nicht intensiv genug seien. Ihm sei deshalb im Rahmen des Familienasyls gemäss Art. 51 AsylG die Flüchtlingseigenschaft zuzuerkennen und Asyl zu gewähren.</w:t>
      </w:r>
    </w:p>
    <w:p>
      <w:r>
        <w:rPr>
          <w:b/>
        </w:rPr>
        <w:t>E. 3.3</w:t>
      </w:r>
    </w:p>
    <w:p>
      <w:r>
        <w:t>In ihrer Vernehmlassung hielt die Vorinstanz in den ergänzenden Bemerkungen fest, alleine die Herkunft des Beschwerdeführers aus dem Dorf M._______ vermöge offenkundig keine Flüchtlingseigenschaft zu begründen. Aus der Beschwerdeschrift sei sodann nicht ersichtlich, zu welchem Zeitpunkt und aus welchen Gründen konkret die Asylbehörden von D._______ den beiden in D._______ wohnhaften Geschwistern der Ehefrau des Beschwerdeführers Asyl gewährt hätten.</w:t>
      </w:r>
    </w:p>
    <w:p>
      <w:r>
        <w:rPr>
          <w:b/>
        </w:rPr>
        <w:t>E. 3.4</w:t>
      </w:r>
    </w:p>
    <w:p>
      <w:r>
        <w:t>In seiner Replik hielt der Beschwerdeführer an seinen bisherigen Vorbringen und Standpunkten fest und ersuchte das Bundesverwaltungsgericht um Gutheissung seiner Anträge. Es sei wohl zutreffend, dass die Flüchtlingseigenschaft nicht alleine aus der Herkunft aus dem Dorf M._______ hergeleitet werden könne. Gleichwohl sei diese Herkunft zu berücksichtigen, was die Vorinstanz auszublenden versuche.</w:t>
      </w:r>
    </w:p>
    <w:p>
      <w:r>
        <w:rPr>
          <w:b/>
        </w:rPr>
        <w:t>E. 4.1</w:t>
      </w:r>
    </w:p>
    <w:p>
      <w:r>
        <w:t>Der Beschwerdeführer bringt vor, seine Schilderungen würden aufzeigen, dass die Verfolgung seiner Ehefrau durch die türkischen Behörden noch immer aktuell sei und andauere. Er stützt sich zur Begründung seiner Gefährdung zur Hauptsache auf die Verfolgungssituation seiner Ehefrau. Diese habe Nachteile im Sinne von Art. 3 Abs. 1 und 2 AsylG erlitten und begründete Furcht, solchen Nachteilen auch in Zukunft ausgesetzt zu werden.</w:t>
      </w:r>
    </w:p>
    <w:p>
      <w:r>
        <w:rPr>
          <w:b/>
        </w:rPr>
        <w:t>E. 4.1.1</w:t>
      </w:r>
    </w:p>
    <w:p>
      <w:r>
        <w:t>Zu den vom Beschwerdeführer erlittenen behördlichen Schikanen (polizeiliche Befragungen nach Besuchen seiner Frau im Gefängnis und nach deren Ausreise aus der Türkei; erniedrigende Polizeikontrollen und -befragungen infolge seiner kurdischen Volkszugehörigkeit) ist festzuhalten, dass Angriffe auf die in Art. 3 Abs. 2 AsylG genannten Rechtsgüter dann asylrelevant sind, wenn sie eine bestimmte Intensität erreichen. So muss zur Gefährdung des Lebens eine direkte und ernsthafte Todesgefahr vorliegen. Eine Gefährdung des Leibes erreicht die geforderte Intensität dann, wenn dem Betroffenen ernsthafte Verletzungen (physischer oder psychischer Natur) zugefügt worden sind. Leichtere Eingriffe in die körperliche Integrität erreichen die nötige Intensität nicht. Auch nicht jedem Eingriff in die Bewegungsfreiheit kommt Asylrelevanz zu. Einerseits ist bei der Beurteilung die Dauer der Inhaftierung, andererseits die Behandlung während der Haft in Betracht zu ziehen. So erreicht etwa eine kurzzeitige Inhaftierung oder Internierung begleitet von allgemein "schlechten" Bedingungen im Normalfall die erforderliche Intensität zur Zuerkennung der Flüchtlingseigenschaft nicht. Bei der Beurteilung, ob erlittene Eingriffe intensiv genug sind, ist mitzuberücksichtigen, dass mehrere Eingriffe in die in Art. 3 AsylG genannten Rechtsgüter, die zwar für sich allein die nötige Intensität nicht erreichen, insgesamt gesehen das Mass des Erträglichen überschreiten können. Mehrere Eingriffe im obgenannten Sinne, die nicht intensiv genug sind, können zu einem unerträglichen psychischen Druck führen, der für die betroffene Person ein weiteres Verbleiben im Heimatland verunmöglicht. Dabei ist zu beachten, dass der vom Asylgesuchsteller geltend gemachte psychische Druck objektiv gesehen nachvollziehbar sein muss. Zusammenfassend ergibt sich, dass sich bezüglich der Frage der Intensität von Eingriffen keine generellen Kriterien aufstellen lassen. Vielmehr ist im konkreten Einzelfall zu entscheiden, ob die für die Zuerkennung der Flüchtlingseigenschaft notwendige Intensität der Beeinträchtigungen erreicht oder das Mass der Erträglichkeit eines psychischen Druckes überschritten ist. Gemäss Angaben des Beschwerdeführers sei er nach den wöchentlichen Besuchen seiner Frau im Gefängnis jeweils von der Polizei befragt respektive nach der Flucht seiner Frau aus der Türkei einmal monatlich entweder auf dem Posten von J._______ oder im Dorf befragt und ermahnt worden, wobei er jeweils eine Stunde lang festgehalten worden sei (vgl. act. C18/12 S. 4 f.). Während dieser Befragungen oder der übrigen Erniedrigungen habe man ihn eigenen Ausführungen zufolge weder misshandelt noch - abgesehen von Einschüchterungsversuchen - konkret und ernsthaft an Leib und Leben bedroht (vgl. act. C18/12 S. 4 f.). Die genaue Anzahl der Vorladungen vermochte der Beschwerdeführer nicht zu nennen, es seien jedoch "schon einige Vorladungen" gewesen. Nachdem er den Polizisten angegeben gehabt habe, seine Frau sei lediglich seine Verlobte beziehungsweise seine Lebenspartnerin, habe man ihn ein wenig in Ruhe gelassen (vgl. act. C18/12 S. 4). Die vom Beschwerdeführer geschilderten Nachteile sind aufgrund ihrer Art und Intensität klarerweise nicht asylrelevant im Sinne von Art. 3 Abs. 2 AsylG. Auch kann diesbezüglich nicht vom Bestehen eines unerträglichen psychischen Drucks ausgegangen werden. Ein solcher lässt sich deshalb nicht bejahen, weil mit dem Begriff des unerträglichen psychischen Drucks nicht ein Auffangtatbestand geschaffen werden sollte, um auch weniger intensive Eingriffe in Leib, Leben oder Freiheit flüchtlingsrechtlich anzuerkennen. Vielmehr soll diese Formulierung erlauben, staatliche Massnahmen zu erfassen, die sich nicht unmittelbar gegen die Rechtsgüter Leib, Leben oder Freiheit richten, sondern auf andere Weise ein menschenwürdiges Leben verunmöglichen (vgl. Botschaft, BBl 1983 III 783). Der Beschwerdeführer anerkennt in seiner Beschwerdeschrift denn auch selber, dass die von ihm erlittenen behördlichen Behelligungen für die Asylgewährung nicht intensiv genug seien.</w:t>
      </w:r>
    </w:p>
    <w:p>
      <w:r>
        <w:rPr>
          <w:b/>
        </w:rPr>
        <w:t>E. 4.1.2</w:t>
      </w:r>
    </w:p>
    <w:p>
      <w:r>
        <w:t>Sodann sind die Entgegnungen des Beschwerdeführers, gemäss welchen die Verfolgung seiner Ehefrau durch die türkischen Behörden noch immer aktuell sei und sie begründete Furcht habe, solchen Nachteilen auch in Zukunft ausgesetzt zu werden, was sich auch nachteilig auf seine Person auswirke, als nicht stichhaltig zu erachten. Im Beschwerdeurteil gleichen Datums betreffend seine Ehefrau (Geschäfts-Nr. D-6216/2014) hielt das Bundesverwaltungsgericht fest, dass für den Zeitpunkt deren Ausreise aus der Türkei das Bestehen einer begründeten Furcht vor Verfolgung im Sinne von Art. 3 AsylG zu verneinen sei und die geltend gemachten Vorfluchtgründe den Anforderungen an die Flüchtlingseigenschaft nicht zu genügen vermöchten. Zur geltend gemachten Befürchtung, bei einer Rückkehr erneuten Behelligungen im bisherigen Rahmen ausgesetzt zu werden, erwog die Vorinstanz zu Recht und mit zutreffender Begründung, dass die Ehefrau des Beschwerdeführers den schweizerischen Asylbehörden gegenüber selber angeführt habe, seit ihrer Entlassung aus der Haft weder in der Türkei noch in der Schweiz irgendwelche politischen Aktivitäten für die kurdische Bewegung entfaltet zu haben noch zu beabsichtigen, solche in Zukunft jemals aufzunehmen (vgl. act. B58/25 S. 16 ff.). Da er seit der Ausreise seiner Frau aus der Türkei im Jahre 2010 in der Tat - über die üblichen Befragungen und allgemeinen Ermahnungen hinaus - weder mit weiteren auf seine Frau bezogenen Befragungen und Erkundigungen noch mit weitergehenden Beeinträchtigungen im Sinne einer Reflexverfolgung konfrontiert wurde, erweist sich die vorgebrachte Befürchtung daher als unbegründet. Mangels konkreter Begründung, inwiefern die mit Eingabe vom 6. Dezember 2016 geltend gemachte gegenwärtige Situation in der Türkei Auswirkungen auf den Beschwerdeführer haben könnte, ist nicht weiter auf diese Vorbringen einzugehen.</w:t>
      </w:r>
    </w:p>
    <w:p>
      <w:r>
        <w:rPr>
          <w:b/>
        </w:rPr>
        <w:t>E. 4.2</w:t>
      </w:r>
    </w:p>
    <w:p>
      <w:r>
        <w:t>Bei dieser Sachlage genügen die geltend gemachten Asylvorbringen des Beschwerdeführers den Anforderungen an die Flüchtlingseigenschaft nicht. An dieser Einschätzung vermögen die weiteren Ausführungen in den Eingaben auf Beschwerdeebene und die zur Stützung dieser Vorbringen eingereichten Dokumente nichts zu ändern. Das Asylgesuch des Beschwerdeführers wurde von der Vorinstanz demnach zu Recht abgewiesen. Da seine Ehefrau die Flüchtlingseigenschaft nicht erfüllt und ihr Asylgesuch ebenfalls abgelehnt wurde, sind die Voraussetzungen des Familienasyls im Sinne von Art. 51 AsylG nicht zu prüfen.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2013/37 E. 4.4; BVGE 2011/24 E. 10.1; BVGE 2009/50 E. 9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Der Beschwerdeführer wurde mit Verfügung des BFM vom 19. September 2014 wegen Unzumutbarkeit des Vollzugs der Wegweisung in der Schweiz vorläufig aufgenommen. Bei dieser Sachlage erübrigen sich weitere Ausführungen zur Frage der Durchführbarkeit des Vollzuges.</w:t>
      </w:r>
    </w:p>
    <w:p>
      <w:r>
        <w:rPr>
          <w:b/>
        </w:rPr>
        <w:t>E. 7</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dem Beschwerdeführer aufzuerlegen (Art. 63 Abs. 1 VwVG). Da indessen mit Verfügung des Instruktionsrichters vom 6. November 2014 das Gesuch um Gewährung der unentgeltlichen Prozessführung im Sinne von Art. 65 Abs. 1 VwVG gutgeheissen wurde und keine Anhaltspunkte dafür vorliegen, dass sich seine finanzielle Lage seither entscheidrelevant verändert hätte, ist auf die Auferlegung von Verfahrenskosten zu verzichten.</w:t>
      </w:r>
    </w:p>
    <w:p>
      <w:r>
        <w:rPr>
          <w:b/>
        </w:rPr>
        <w:t>E. 8.2</w:t>
      </w:r>
    </w:p>
    <w:p>
      <w:r>
        <w:t>Mit Verfügung vom 6. November 2014 wurde ausserdem das Gesuch um amtliche Verbeiständung gutgeheissen (Art. 110a Abs. 1 AsylG) und dem Beschwerdeführer sein Rechtsvertreter als Rechtsbeistand bestellt. Demnach wäre diesem ein amtliches Honorar für seine notwendigen Aufwendungen im Beschwerdeverfahren auszurichten. Der notwendige Aufwand wurde ihm jedoch bereits mit Beschwerdeurteil gleichen Datums betreffend die Ehefrau und Tochter des Beschwerdeführers (Geschäfts-Nr. D-6216/2014) vergütet und festgehalten, dass der Aufwand für das Beschwerdeverfahren D-6214/2014 betreffend den Ehemann der Beschwerdeführerin demnach nicht mehr zu entschädigen sei. Demzufolge ist dem Rechtsvertreter für das vorliegende Beschwerdeverfahren kein amtliches Honorar mehr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