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D-6214/2011 vom 7. Dezember 2011</w:t>
      </w:r>
    </w:p>
    <w:p>
      <w:r>
        <w:t>Bundesverwaltungsgericht, 2011-12-07, DE</w:t>
      </w:r>
    </w:p>
    <w:p>
      <w:r>
        <w:rPr>
          <w:b/>
        </w:rPr>
        <w:t xml:space="preserve">Quelle: </w:t>
      </w:r>
      <w:r>
        <w:t>https://mcp.opencaselaw.ch/entscheid/bvger_D-6214_2011</w:t>
      </w:r>
    </w:p>
    <w:p>
      <w:r>
        <w:t>FR: TAF D-6214/2011 du 7 décembre 2011</w:t>
      </w:r>
    </w:p>
    <w:p>
      <w:r>
        <w:t>IT: TAF D-6214/2011 del 7 dicembre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Davon kann nur abgewichen werden, wenn eine Befragung faktisch oder aus organisatorischen oder kapazitätsmässigen Gründen unmöglich ist, oder wenn der Sachverhalt bereits aufgrund des eingereichten Asylgesuchs als entscheidreif erstellt erscheint (vgl. BVGE 2007/30 E. 5.8 S. 367 f.). Ist eine Befragung im Ausland nicht möglich, ist die asylsuchende Person aufzufordern, ihre Asylgründe schriftlich festzuhalten (Art. 10 Abs. 2 AsylV 1). Das BFM hat den Verzicht auf eine Befragung im Ausland in der Verfügung zu begründen (vgl. BVGE 2007/30 E. 5.8 S. 368).</w:t>
      </w:r>
    </w:p>
    <w:p>
      <w:r>
        <w:rPr>
          <w:b/>
        </w:rPr>
        <w:t>E. 4.2</w:t>
      </w:r>
    </w:p>
    <w:p>
      <w:r>
        <w:t>Vorliegend ging das BFM davon aus, der Sachverhalt sei schon auf­grund der schriftlichen Eingaben entscheidreif erstellt. Diese Sichtweise ist vertretbar, sind doch besagte Eingaben relativ detailliert und klar formuliert. Unter diesen Umständen erübrigte sich für die Vorinstanz die Auf­bietung des Beschwerdeführers zu einer Befragung. Da den vom Bun­desverwaltungsgericht ferner aufgeführten Erfordernissen (Gewährung des rechtlichen Gehörs; Begründung des Verzichts auf eine Befragung [vgl. act. A5/3]) ebenfalls Rechnung getragen wurde, ist die Vorgehens­weise des BFM nicht zu beanstanden.</w:t>
      </w:r>
    </w:p>
    <w:p>
      <w:r>
        <w:rPr>
          <w:b/>
        </w:rPr>
        <w:t>E. 5.1</w:t>
      </w:r>
    </w:p>
    <w:p>
      <w:r>
        <w:t>Einer Person, welche im Ausland ein Asylgesuch gestellt hat, ist die Einreise in die Schweiz zu bewilligen, wenn eine unmittelbare Gefahr für Leib, Leben oder Freiheit aus einem Grund nach Art. 3 Abs. 1 AsylG glaubhaft gemacht wird (Art.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(Art. 20 Abs. 2 AsylG). Asyl - und da­mit die Einreise in die Schweiz - ist ihr zu verweigern, wenn keine Hin­weise auf eine aktuelle Gefährdung im Sinne von Art. 3 AsylG vorliegen oder ihr zuzumuten ist, sich in einem Drittstaat um Aufnahme zu bemü­hen (Art. 52 Abs. 2 AsylG). Hält sich die Person, die ein Asylgesuch aus dem Ausland gestellt hat,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die Zumutbarkeit der Inanspruchnahme des Schutzes im Drittstaat als unzutreffend erweisen. Es ist deshalb zu prüfen, ob die asylsuchende Person im Drittstaat Schutz vor Verfolgung gefunden hat oder erlangen kann, und - falls dies zu bejahen ist - ob der asylsuchenden Person die Inanspruchnahme des Schutzes des Drittstaates und somit der Verbleib in diesem Staat objektiv zugemutet werden kann. Bei dieser Abwägung bildet die besondere Beziehungsnähe der asylsuchenden Person zur Schweiz ein zentrales, wenn auch nicht das einzige Kriterium (vgl. BVGE E-8127/2008 vom 12. Mai 2011 E. 5.1, EMARK 2004 Nr. 21 E. 4b.aa S. 139 f.).</w:t>
      </w:r>
    </w:p>
    <w:p>
      <w:r>
        <w:rPr>
          <w:b/>
        </w:rPr>
        <w:t>E. 5.2</w:t>
      </w:r>
    </w:p>
    <w:p>
      <w:r>
        <w:t>Für die Erteilung einer Einreisebewilligung gelten im Übrigen restrik­tive Voraussetzungen, wobei den Behörden ein weiter Ermessensspiel­raum zukommt. Neben der erforderlichen Gefährdung im Sinne von Art. 3 AsylG sind mit Blick auf den Ausschlussgrund von 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(vgl. BVGE E-8127/2008 vom 12. Mai 2011 E. 3.3, Entscheidungen und Mitteilungen der Schweizeri­schen Asylrekurskommission [EMARK] 2005 Nr. 19 E. 4 S. 174 ff., EMARK 2004 Nr. 21 E. 2 S. 136 f., EMARK 2004 Nr. 20 E. 3 S. 130 f., EMARK 1997 Nr. 15 E. 2f S. 131 f.).</w:t>
      </w:r>
    </w:p>
    <w:p>
      <w:r>
        <w:rPr>
          <w:b/>
        </w:rPr>
        <w:t>E. 6.1</w:t>
      </w:r>
    </w:p>
    <w:p>
      <w:r>
        <w:t>Das BFM führte zur Begründung seines Entscheides aus, das Asylgesuch einer Person, die sich im Ausland befinde, werde gemäss Art. 52 Abs. 2 AsylG abgelehnt, wenn ihr zugemutet werden könne, in einem anderen Staat um Schutz nachzusuchen. Der Beschwerdeführer halte sich seit 1996 in Ghana auf und sei von den dortigen Behörden als Flüchtling anerkannt worden. Es sei ihm demnach Schutz vor der geltend gemachten Verfolgung im Heimatstaat gewährt worden. Die von ihm gel­tend gemachten wirtschaftlichen und sozialen Schwierigkeiten stellten keine Verfolgungsgründe nach Art. 3 AsylG dar. Es sei bedauerlich, dass er am 13. Februar 2011 aus seinem Haus gezerrt und geschlagen worden sei. Aufgrund der Akten sei von einem einmaligen Übergriff auf ihn auszugehen, der zu wenig intensiv sei, um die Anforderungen an die Flüchtlingseigenschaft zu begründen. Von den Angriffen auf das Flücht­lingslager in den Jahren 2001, 2004 und 2008 sei er gemäss den Akten nicht persönlich betroffen worden. Mangels gegenteiliger Hinweise sei da­von auszugehen, dass er den Schutz der ghanaischen Behörden weiter­hin in Anspruch nehmen könne. Bei dieser Sachlage sei nicht darauf einzugehen, ob ihm im Heimatstaat asylrelevante Verfolgung drohe.</w:t>
      </w:r>
    </w:p>
    <w:p>
      <w:r>
        <w:rPr>
          <w:b/>
        </w:rPr>
        <w:t>E. 6.2</w:t>
      </w:r>
    </w:p>
    <w:p>
      <w:r>
        <w:t>In der Beschwerde wird geltend gemacht, das Leben des Beschwerdeführers sei in Ghana nicht sicher. Er lebe im Flüchtlingslager in ständiger Angst und fühle sich mit dem Tode bedroht. Im Falle einer Rückkehr nach Liberia fürchte er ebenfalls um sein Leben. Im beigelegten Schreiben eines Freundes, der für den liberianischen Sicherheitsapparat ar­beite, werde er vor einer Rückkehr in seine Heimat gewarnt. Er befürchte, im Flüchtlingslager in Ghana von Agenten des liberianischen Regimes angegangen zu werden.</w:t>
      </w:r>
    </w:p>
    <w:p>
      <w:r>
        <w:rPr>
          <w:b/>
        </w:rPr>
        <w:t>E. 6.3</w:t>
      </w:r>
    </w:p>
    <w:p>
      <w:r>
        <w:t>Auch in Anbetracht der Einwände in der Beschwerde präsentiert sich die Situation des Beschwerdeführers nicht dergestalt, dass davon auszugehen wäre, es für ihn in Berücksichtigung der heutigen Situation in Ghana objektiv unzumutbar, den in diesem Land gegenüber der Verfol­gungsgefahr im Heimatstaat bestehenden Schutz weiterhin in Anspruch zu nehmen. So ist es ihm unbenommen, sich an die örtliche Vertretung des UNHCR beziehungsweise die ghanaischen Behörden zu wenden, falls er sich konkret bedroht fühlt. Er hat grundsätzlich die Möglichkeit, sich wieder im Flüchtlingslager C._______ niederzulassen, falls er sich an seinem aktuellen Aufenthaltsort - offenbar ausserhalb des Camps - nicht hinreichend sicher fühlen sollte. Hinsichtlich der gewaltsamen Vor­fälle, die sich im Flüchtlingslager zugetragen haben, kann auf die zutreffenden Ausführungen des BFM verwiesen werden. Ergänzend ist fest­zuhalten, dass sich gemäss dem vom Beschwerdeführer eingereichten Zeitungsartikel vom 14. Februar 2011 im Flüchtlingslager gewaltsame Auseinandersetzungen zwischen rivalisierenden Flüchtlingsgruppen zugetragen haben. Dabei seien die lokale Polizeistation und die Krankenstation angegriffen und massive Sachbeschädigungen begangen worden. Die Sicherheitskräfte hätten mit einem Grossaufgebot für Ruhe und Ordnung sorgen müssen und 20 Tatverdächtige festgenommen. Diese Darstellung der Sachlage steht im Widerspruch zu den Angaben des Beschwerdeführers, wonach die Be­hörden das Lager angegriffen hätten. Angesichts der Berichterstattung ist vielmehr davon auszugehen, die Sicherheitskräfte seien eingeschritten, um den Sachbeschädigungen und Auseinandersetzungen zwischen den Flüchtlingen (und Schlimmerem) Einhalt zu gebieten. Den Akten ist auch kein besonderes Profil des Beschwerdeführers zu entnehmen, das ihn der konkreten Gefahr einer Deportation nach Liberia aussetzen könnte. Er verwies zwar darauf, er habe gehört, dass im Jahr 2008 16 liberianische Staatsangehörige von Ghana nach Liberia zurückge­schafft worden seien, konnte aber keine konkreten Begebenheiten nen­nen, aufgrund derer er sich persönlich vor einer Ausschaffung in sein Hei­matland fürchten muss. Eine Schutzgewährung durch die Schweiz ist so­mit nicht erforderlich.</w:t>
      </w:r>
    </w:p>
    <w:p>
      <w:r>
        <w:rPr>
          <w:b/>
        </w:rPr>
        <w:t>E. 6.4</w:t>
      </w:r>
    </w:p>
    <w:p>
      <w:r>
        <w:t>Zusammenfassend ergibt sich, dass das BFM zutreffend festgestellt hat, der Beschwerdeführer sei nicht schutzbedürftig im Sinne des Asylgesetzes. Unter diesen Umständen hat es zu Recht die Erteilung der Einreisebewilligung verweigert und das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die Kosten grundsätzlich dem Beschwerdeführer aufzuerlegen (Art. 63 Abs. 1 VwVG). Aus verwaltungs­ökonomischen Gründen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