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D-6214/2009 vom 5. Dezember 2012</w:t>
      </w:r>
    </w:p>
    <w:p>
      <w:r>
        <w:t>Bundesverwaltungsgericht, 2012-12-05, DE</w:t>
      </w:r>
    </w:p>
    <w:p>
      <w:r>
        <w:rPr>
          <w:b/>
        </w:rPr>
        <w:t xml:space="preserve">Quelle: </w:t>
      </w:r>
      <w:r>
        <w:t>https://mcp.opencaselaw.ch/entscheid/bvger_D-6214_2009</w:t>
      </w:r>
    </w:p>
    <w:p>
      <w:r>
        <w:t>FR: TAF D-6214/2009 du 5 décembre 2012</w:t>
      </w:r>
    </w:p>
    <w:p>
      <w:r>
        <w:t>IT: TAF D-6214/2009 del 5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Im Verwaltungsverfahren und spezifisch im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w:t>
      </w:r>
    </w:p>
    <w:p>
      <w:r>
        <w:rPr>
          <w:b/>
        </w:rPr>
        <w:t>E. 2.2</w:t>
      </w:r>
    </w:p>
    <w:p>
      <w:r>
        <w:t>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Entscheidungen und Mitteilungen der ehemaligen Schweizerischen Asylrekurskommission [EMARK] 1995 Nr. 23 E. 5a mit weiteren Hinweisen).</w:t>
      </w:r>
    </w:p>
    <w:p>
      <w:r>
        <w:rPr>
          <w:b/>
        </w:rPr>
        <w:t>E. 3</w:t>
      </w:r>
    </w:p>
    <w:p>
      <w:r>
        <w:t>Im vorliegenden Fall ist die Vorinstanz ihren Pflichten, die sich aus dem Untersuchungsgrundsatz respektive aus dem Anspruch des Beschwerdeführers auf rechtliches Gehör ergeben, nicht hinreichend nachgekommen.</w:t>
      </w:r>
    </w:p>
    <w:p>
      <w:r>
        <w:rPr>
          <w:b/>
        </w:rPr>
        <w:t>E. 3.1</w:t>
      </w:r>
    </w:p>
    <w:p>
      <w:r>
        <w:t>Der Beschwerdeführer führte anlässlich des vorinstanzlichen Verfahrens zu den Fragen nach seiner Herkunft aus, er stamme aus D._______. Diese Stadt gehört nach den Erkenntnissen des Bundesverwaltungsgerichts zu den sogenannten "umstrittenen Gebieten", auf welche sowohl von der irakischen Zentralregierung in Bagdad als auch von der kurdischen Regionalregierung (KRG) Anspruch erhoben wird. Obwohl historisch ein Teil der kurdischen Provinz I._______, wurde D._______ im Jahre (...) im Zuge der Arabisierungskampagne des Regimes unter Saddam Hussein der Provinz J._______ einverleibt. Die Behörden der KRG hoffen, das Gebiet im Zug einer Volksabstimmung, welche in Artikel 140 der irakischen Verfassung vorgesehen ist, erneut in ihr Gebiet respektive die halbautonome irakische Region Kurdistan aufnehmen zu können. Der administrative Status des rund (...) Kilometer ausserhalb der offiziellen Grenze zu den kurdischen Gebieten im Nordirak liegenden D._______ muss demnach erst noch bestimmt werden (vgl. bspw. Amt des Hohen Flüchtlingskommissars der Vereinten Nationen [UNHCR)], Rapid Needs Assessment [RNA] of Recently Displaced Persons in the Kurdistan Region, Erbil Governorate May 2007 - June 2008).</w:t>
      </w:r>
    </w:p>
    <w:p>
      <w:r>
        <w:rPr>
          <w:b/>
        </w:rPr>
        <w:t>E. 3.2</w:t>
      </w:r>
    </w:p>
    <w:p>
      <w:r>
        <w:t>Die Vorinstanz ist indessen im angefochtenen Entscheid davon ausgegangen, die Herkunftsstadt des Beschwerdeführers gehöre (noch immer) zur Provinz I._______, und hat dementsprechend seine Ausführungen zur Zumutbarkeit des Wegweisungsvollzugs auf diese Sachverhaltsannahme abgestützt. Dadurch hat jedoch das BFM den rechtserheblichen Sachverhalt unrichtig festgestellt, was in casu eine Verletzung des Untersuchungsgrundsatzes und mithin des Anspruches auf rechtliches Gehör bedeutet.</w:t>
      </w:r>
    </w:p>
    <w:p>
      <w:r>
        <w:rPr>
          <w:b/>
        </w:rPr>
        <w:t>E. 3.3</w:t>
      </w:r>
    </w:p>
    <w:p>
      <w:r>
        <w:t>Beschwerden gegen Verfügungen des BFM betreffend die Verweigerung von Asyl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richtige Feststellung des rechtserheblichen Sachverhalts zu sorgen, wenn im Verfahren der Vorinstanz die erforderlichen Sachverhaltsabklärungen unterblieben sind (EMARK 2004 Nr. 38 E. 7). Abgesehen davon ginge dem Beschwerdeführer dadurch eine Überprüfungsinstanz verloren.</w:t>
      </w:r>
    </w:p>
    <w:p>
      <w:r>
        <w:rPr>
          <w:b/>
        </w:rPr>
        <w:t>E. 4</w:t>
      </w:r>
    </w:p>
    <w:p>
      <w:r>
        <w:t>Bei dieser Sachlage ist die Beschwerde im Sinne der Erwägungen gutzu-heissen. Die Verfügung vom 28. August 2009 ist aufzuheben und das BFM anzuweisen, den rechtserheblichen Sachverhalt richtig respektive vollständig festzustellen und über das Asylgesuch neu zu entscheiden. Auf die im Beschwerdeverfahren in reformatorischer Hinsicht gestellten Rechtsbegehren und deren Begründung sowie auf die bisher eingereichten Dokumente ist bei diesem Verfahrensausgang nicht einzugehen, weil es Sache des Bundesamtes sein wird, sich damit zu befassen. 5.1 Bei diesem Ausgang des Beschwerdeverfahrens sind keine Verfahrenskosten aufzuerlegen (Art. 63 Abs. 1 VwVG). Der mit Zwischenverfügung vom 13. Oktober 2009 erhobene und vom Beschwerdeführer am 28. Oktober 2009 geleistete Kostenvorschuss in der Höhe von Fr. 600.- ist demnach zurückzuerstatten. 5.2 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Dem Beschwerdeführer sind aus der selbstständigen Einreichung der Beschwerde und der selbstständigen Führung des Beschwerdeverfahrens keine verhältnismässig hohen Kosten entstanden, weshalb vorliegend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