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D-6213/2014 vom 5. November 2014</w:t>
      </w:r>
    </w:p>
    <w:p>
      <w:r>
        <w:t>Bundesverwaltungsgericht, 2014-11-05, DE</w:t>
      </w:r>
    </w:p>
    <w:p>
      <w:r>
        <w:rPr>
          <w:b/>
        </w:rPr>
        <w:t xml:space="preserve">Quelle: </w:t>
      </w:r>
      <w:r>
        <w:t>https://mcp.opencaselaw.ch/entscheid/bvger_D-6213_2014</w:t>
      </w:r>
    </w:p>
    <w:p>
      <w:r>
        <w:t>FR: TAF D-6213/2014 du 5 novembre 2014</w:t>
      </w:r>
    </w:p>
    <w:p>
      <w:r>
        <w:t>IT: TAF D-6213/2014 del 5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Eingaben in Verfahren vor den Behörden des Bundes sind in einer Amtssprache - in der Regel Deutsch, Französisch oder Italienisch - abzufassen (Art. 70 Abs. 1 BV und Art. 33a Abs. 1 VwVG). Die Beschwerdeschrift hat die Begehren, deren Begründung mit Angabe der Beweismittel und die Unterschrift des Beschwerdeführers oder des Vertreters zu enthalten (Art. 52 Abs. 1 VwVG).</w:t>
      </w:r>
    </w:p>
    <w:p>
      <w:r>
        <w:rPr>
          <w:b/>
        </w:rPr>
        <w:t>E. 1.4</w:t>
      </w:r>
    </w:p>
    <w:p>
      <w:r>
        <w:t>Das Schreiben des Beschwerdeführers vom 3. Oktober 2014 ist nicht in einer der erwähnten Sprachen verfasst und müsste grundsätzlich zur Übersetzung an den Beschwerdeführer zurückgewiesen werden (Art. 52 Abs. 2 VwVG). Aus prozessökonomischen Gründen wird auf die Ansetzung einer Frist zur Beschwerdeverbesserung verzichtet, da der in Englisch verfassten Eingabe sinngemäss ein Beschwerdebegehren mit entsprechender Begründung entnommen und darüber aufgrund der Aktenlage entschieden werden kann.</w:t>
      </w:r>
    </w:p>
    <w:p>
      <w:r>
        <w:rPr>
          <w:b/>
        </w:rPr>
        <w:t>E. 1.5</w:t>
      </w:r>
    </w:p>
    <w:p>
      <w:r>
        <w:t>Die Beschwerde ist unter Vorbehalt von E. 1.3 und 1.4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dem genannten Vorbehalt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5.1</w:t>
      </w:r>
    </w:p>
    <w:p>
      <w:r>
        <w:t>Das Bundesamt bewilligt Asylsuchenden die Einreise in die Schweiz zur Abklärung des Sachverhalts, wenn ihnen nicht zugemutet werden kann, im Wohnsitz- oder Aufenthaltsort zu bleiben oder in einen anderen Staat auszureisen (alt 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AsylG).</w:t>
      </w:r>
    </w:p>
    <w:p>
      <w:r>
        <w:rPr>
          <w:b/>
        </w:rPr>
        <w:t>E. 5.2</w:t>
      </w:r>
    </w:p>
    <w:p>
      <w:r>
        <w:t>Das Bundesamt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(alt Art. 52 Abs. 2 AsylG).</w:t>
      </w:r>
    </w:p>
    <w:p>
      <w:r>
        <w:rPr>
          <w:b/>
        </w:rPr>
        <w:t>E. 5.3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6.1</w:t>
      </w:r>
    </w:p>
    <w:p>
      <w:r>
        <w:t>Das BFM führt zur Begründung seines ablehnenden Entscheids im Wesentlichen aus, der Beschwerdeführer sei nicht auf den Schutz der Schweiz angewiesen. Es bestünden keine Anhaltspunkte, dass er in absehbarer Zukunft erneut staatlichen Verfolgungsmassnahmen ausgesetzt sein könnte. Weiteren Beobachtungen und Behelligungen der sri-lanki­schen Behörden kämen aufgrund mangelnder Intensität kein Verfolgungs­charakter zu (Art. 3 AsylG). Seine Haft vermöge nicht eine Asylgewährung bzw. eine Einreisebewilligung in die Schweiz zu begründen. Das schweizerische Asylrecht und die Einreise in die Schweiz dienten nicht dem Ausgleich vergangenen Unrechts, sondern sollten demjenigen gewährt werden, der aktuell des Schutzes der Schweiz bedürfe. Die geltend gemachten zurückliegenden Nachteile könnten nicht zur Gewährung einer Einreisebewilligung führen.</w:t>
      </w:r>
    </w:p>
    <w:p>
      <w:r>
        <w:rPr>
          <w:b/>
        </w:rPr>
        <w:t>E. 6.2</w:t>
      </w:r>
    </w:p>
    <w:p>
      <w:r>
        <w:t>Der Beschwerdeführer macht einzig geltend, er könne nicht mehr ohne Angst in Sri Lanka leben. Auch wenn er mehrere "Sicherheitsgründe" habe, seine familiäre Situation sei sehr kritisch.</w:t>
      </w:r>
    </w:p>
    <w:p>
      <w:r>
        <w:rPr>
          <w:b/>
        </w:rPr>
        <w:t>E. 6.3</w:t>
      </w:r>
    </w:p>
    <w:p>
      <w:r>
        <w:t>Es ist festzuhalten, dass sich die Beschwerde auf eine Wiederholung der bisherigen Vorbringen beschränkt; der Beschwerdeführer sei aufgrund des Anti-Terror-Gesetzes über 14 Jahre (von 1997 bis 2011) im Gefängnis gewesen. Mithin werden keine neuen wesentlichen Sachverhaltselemente geltend gemacht. Die Überprüfung der Akten ergibt sodann, dass sich die diesbezüglichen Erwägungen in der angefochtenen Verfügung als zutreffend erweisen; es kann vollumfänglich auf diese verwiesen werden. Das Bundesverwaltungsgericht gelangt in Übereinstimmung mit dem BFM zum Schluss, dass der Beschwerdeführer im heutigen Zeitpunkt nicht auf den Schutz der Schweiz angewiesen ist.</w:t>
      </w:r>
    </w:p>
    <w:p>
      <w:r>
        <w:rPr>
          <w:b/>
        </w:rPr>
        <w:t>E. 6.4</w:t>
      </w:r>
    </w:p>
    <w:p>
      <w:r>
        <w:t>Dem Beschwerdeführer ist es somit nicht gelungen, eine Verfolgung gemäss Art. 3 AsylG darzulegen. Das BFM hat zu Recht die Einreise in die Schweiz verweigert und das Asylgesuch aus dem Ausland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