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D-6208/2012 vom 19. Februar 2013</w:t>
      </w:r>
    </w:p>
    <w:p>
      <w:r>
        <w:t>Bundesverwaltungsgericht, 2013-02-19, DE</w:t>
      </w:r>
    </w:p>
    <w:p>
      <w:r>
        <w:rPr>
          <w:b/>
        </w:rPr>
        <w:t xml:space="preserve">Quelle: </w:t>
      </w:r>
      <w:r>
        <w:t>https://mcp.opencaselaw.ch/entscheid/bvger_D-6208_2012</w:t>
      </w:r>
    </w:p>
    <w:p>
      <w:r>
        <w:t>FR: TAF D-6208/2012 du 19 février 2013</w:t>
      </w:r>
    </w:p>
    <w:p>
      <w:r>
        <w:t>IT: TAF D-6208/2012 del 19 febbraio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Der Beschwerdeführer brachte in der Beschwerde unter anderem vor, dass die Befragungen durch das BFM mangelhaft ausgefallen seien. Der Beschwerdeführer sei im Zeitpunkt der Befragungen noch minderjährig gewesen. Aus den Protokollen sei ersichtlich, dass dem Beschwerdeführer sowohl die konkreten Fragen als auch der Ablauf und die Bedeutung der Anhörung nicht klar gewesen seien. So habe er zu Beginn der eingehenden Anhörung angegeben, seine Rechte und Pflichten nicht zu kennen. Bei verschiedenen Fragen ergebe sich aus den Antworten, dass der Beschwerdeführer deren Sinn nicht korrekt verstanden habe. Zudem habe die Hilfswerksvertretung angegeben, dass das Protokoll der BzP unsorgfältig verfasst worden sei. Schliesslich seien beide Befragungen mit einer respektive drei Stunden äusserst kurz ausgefallen. Somit sei der Sachverhalt nur ungenügend festgestellt worden, was eine Verletzung des rechtlichen Gehörs darstelle.</w:t>
      </w:r>
    </w:p>
    <w:p>
      <w:r>
        <w:rPr>
          <w:b/>
        </w:rPr>
        <w:t>E. 3.2</w:t>
      </w:r>
    </w:p>
    <w:p>
      <w:r>
        <w:t>Eine solche formelle Rüge einer Verletzung des rechtlichen Gehörs ist vorab zu prüfen, da sie gegebenenfalls zur Kassation der angefochtenen Verfügung führen kann.</w:t>
      </w:r>
    </w:p>
    <w:p>
      <w:r>
        <w:rPr>
          <w:b/>
        </w:rPr>
        <w:t>E. 3.3</w:t>
      </w:r>
    </w:p>
    <w:p>
      <w:r>
        <w:t>Im vorliegenden Fall ist keine Verletzung des rechtlichen Gehörs ersichtlich. Der Beschwerdeführer war in der Anhörung von einer Vertrauensperson begleitet und wurde zu Beginn auf seine Rechte und Pflichten hingewiesen. Den Protokollen der BzP sowie der Anhörung sind auch sonst keine Anhaltspunkte für eine mangelhaft vorgenommene Befragung zu entnehmen. Ferner kann festgehalten werden, dass die Befragungen sämtliche für den Entscheid wesentlichen Bereiche abdecken. Folglich liegt keine Verletzung des rechtlichen Gehörs vor. Ebenso kann auf eine erneute Anhörung des Beschwerdeführers verzichtet werden, so dass der diesbezügliche Antrag des Beschwerdeführers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Entscheidungen und Mitteilungen der Schweizerischen Asylrekurskommission [EMARK] 2000 Nr. 2 E. 8a S. 20; Walter Stöckli, Asyl, in: Uebersax/Rudin/Hugi Yar/Geiser [Hrsg.], Ausländerrecht, 2. Aufl., Basel 2009, Rz. 11.17 und 11.18).</w:t>
      </w:r>
    </w:p>
    <w:p>
      <w:r>
        <w:rPr>
          <w:b/>
        </w:rPr>
        <w:t>E. 4.4</w:t>
      </w:r>
    </w:p>
    <w:p>
      <w:r>
        <w:t>Der Beschwerdeführer brachte in den Befragungen vor, dass sein Vater 2003 im Bürgerkrieg und seine Mutter beim Tsunami im Dezember 2004 gestorben seien. Seither lebe er zusammen mit seinen (...) Schwestern bei seiner Grossmutter. (...) 2010 habe die Karuna-Gruppe durch das Versprechen von Geschenken insgesamt zwei- oder viermal versucht, ihn dazu zu bewegen, sich der Gruppe anzuschliessen. (2010) hätten zwei hohe Mitglieder des paramilitärischen Home Guard Service versucht, seine Schwester mitzunehmen. Die Schwester sei bereits zuvor von ihnen belästigt worden. Um seine Schwester zu beschützen, habe er mit einem Holzstock auf einen der Paramilitärs eingeschlagen und diesen an der Schläfe verletzt. Er habe dann laut um Hilfe geschrien, woraufhin Nachbarn herbeigeeilt seien und die Paramilitärs schliesslich die Flucht ergriffen hätten. Am folgenden Tag sei er von den beiden Entführern auf der Strasse angehalten und unter vorgehaltener Pistole mit dem Tode bedroht worden. In der Folge seien der Beschwerdeführer, seine Schwestern und die Grossmutter in eine andere Unterkunft umgezogen, welche seine Familie nach dem Tsunami erhalten habe. Als er (...) 2010 Dokumente bei der Schule abgeholt habe, habe ihn eine Gruppe von Paramilitärs, in welcher sich auch einer der Entführer befunden habe, gesehen und sei ihm bis zu seiner neuen Unterkunft gefolgt. Dort sei er erneut bedroht worden. Daher habe seine Grossmutter die Ausreise organisiert.</w:t>
      </w:r>
    </w:p>
    <w:p>
      <w:r>
        <w:rPr>
          <w:b/>
        </w:rPr>
        <w:t>E. 4.5</w:t>
      </w:r>
    </w:p>
    <w:p>
      <w:r>
        <w:t>Das BFM begründete seine Verfügung damit, dass sich die Situation betreffend paramilitärische Gruppierungen seit Ende des Bürgerkriegs stark verändert und der Einfluss solcher Gruppen deutlich abgenommen habe. Die Karuna-Gruppe habe sich als politische Partei etabliert und agiere nicht mehr als militante Gruppierung. Auf eine Zusammenarbeit zwischen der Regierung und bewaffneten Organisationen beständen keine Hinweise mehr, wobei sich Angehörige dieser Gruppen gelegentlich weiterhin kriminell betätigen würden. Hierbei handle es sich jedoch um nicht-staatliche Verfolgungshandlungen, welche von den staatlichen Behörden geahndet würden. Der Beschwerdeführer könne sich im Falle einer Behelligung seitens bewaffneter Gruppen somit an die lokalen Behörden wenden. Dasselbe gelte bei Drohungen durch Angehörige von Bürgerwehren. Es seien keine Anhaltspunkte ersichtlich, die auf eine Schutzunwilligkeit des Staates hindeuten würden. Daher seien die Vorbringen des Beschwerdeführers nicht asylrelevant.</w:t>
      </w:r>
    </w:p>
    <w:p>
      <w:r>
        <w:rPr>
          <w:b/>
        </w:rPr>
        <w:t>E. 4.6</w:t>
      </w:r>
    </w:p>
    <w:p>
      <w:r>
        <w:t>Diesen Erwägungen wurde in der Beschwerdeschrift entgegnet, dass der Beschwerdeführer einer Risikogruppe gemäss bundesverwaltungsgerichtlicher Rechtsprechung angehöre. Er habe die Entführung seiner Schwester beobachtet, so dass er sowohl Opfer als auch Zeuge einer Menschenrechtsverletzung sei. Darüber hinaus habe die Karuna-Gruppe den damals noch minderjährigen Beschwerdeführer zu rekrutieren versucht, wodurch er einer weiteren Risikogruppe angehöre. Auch unabhängig von diesen Risikoprofilen sei der Beschwerdeführer in asylrelevanter Weise gefährdet. Durch die Verteidigung seiner Schwester sei er ins Visier des Home Guard Service geraten. Bei diesem handle es sich um eine dem Verteidigungsministerium unterstellte, paramilitärische Hilfstruppe. Angehörige solcher Gruppierungen würden sich oftmals kriminell betätigen. Bei einer Rückkehr drohe dem Beschwerdeführer somit Misshandlung, Erpressung oder gar eine Tötung. Die Vorinstanz gehe von einer nicht-staatlichen Verfolgung aus, vor welcher der sri-lankische Staat genügend Schutz biete, was jedoch unzutreffend sei. Der Home Guard Service sei dem Verteidigungsministerium unterstellt, so dass eine dem Staat zurechenbare Verfolgung vorliege. Ohnehin seien die Behörden grundsätzlich nicht willens, Tamilen vor Übergriffen durch Paramilitärs oder Sicherheitskräfte zu schützen. Die staatlichen Behörden würden eng mit diesen Gruppen kooperieren, so dass diese in völliger Straflosigkeit operieren könnten. Auch das Bundesverwaltungsgericht anerkenne in seinem Grundsatzentscheid die ungenügende Schutzgewährung vor Übergriffen paramilitärischer Gruppierungen im Norden und Osten des Landes. Neueste Länderberichte würden diese Annahme bestätigen. Der Beschwerdeführer würde somit keinen hinreichenden Schutz vor diesen Übergriffen erfahren. Schliesslich sei auch zu erwarten, dass die Karuna-Gruppe erneut versuchen würde, den Beschwerdeführer zu rekrutieren, oder ihn für seine Weigerung, sich der Gruppe anzuschliessen, bestrafen würde.</w:t>
      </w:r>
    </w:p>
    <w:p>
      <w:r>
        <w:rPr>
          <w:b/>
        </w:rPr>
        <w:t>E. 5.1</w:t>
      </w:r>
    </w:p>
    <w:p>
      <w:r>
        <w:t>Das Bundesverwaltungsgericht hat in seinem Urteil BVGE 2011/24 vom 27. Oktober 2011 eine umfassende Lageanalyse der gegenwärtigen Situation in Sri Lanka vorgenommen. Diese Analyse ist für die Entscheidfindung weiterhin massgebend. Es ist somit im vorliegenden Fall zu prüfen, ob der Beschwerdeführer einer Risikogruppe im Sinne dieses Grund­satzentscheides angehört.</w:t>
      </w:r>
    </w:p>
    <w:p>
      <w:r>
        <w:rPr>
          <w:b/>
        </w:rPr>
        <w:t>E. 5.2</w:t>
      </w:r>
    </w:p>
    <w:p>
      <w:r>
        <w:t>Am 19. Mai 2009 verkündete die Regierung Sri Lankas offiziell den Sieg der Regierungstruppen über die Liberation Tigers of Tamil Eelam (LTTE), und Präsident Rajapakse erklärte den seit 26 Jahren dauernden Krieg für beendet. Das Führungskader der LTTE ist der Medienberichterstat­tung zufolge komplett ausgelöscht wor­den. Trotz dieser Ver­ände­run­gen gibt es Personenkreise, die auch nach der Beendigung des militäri­schen Konflik­tes immer noch einer erhöhten Verfolgungsgefahr ausge­setzt sind. Dazu gehören unter anderem Personen, welche Opfer und Zeugen von Menschenrechtsverletzungen sind, sowie Per­sonen, die solche Übergriffe bei den Behörden anzeigen (BVGE 2011/24 E. 8.3 S. 494 f.).</w:t>
      </w:r>
    </w:p>
    <w:p>
      <w:r>
        <w:rPr>
          <w:b/>
        </w:rPr>
        <w:t>E. 5.3</w:t>
      </w:r>
    </w:p>
    <w:p>
      <w:r>
        <w:t>Der Beschwerdeführer brachte vor, dass er durch den Entführungsversuch seiner Schwester sowohl Opfer als auch Zeuge einer Menschenrechtsverletzung sei und daher gefährdet sei. Diese Annahme ist für den vorliegenden Fall unzutreffend. Die Zugehörigkeit zur erwähnten Risikogruppe setzt einerseits eine direkte Wahrnehmung konkreter und massiver Menschenrechtsverletzungen voraus, die im Zusammenhang mit dem Bürgerkrieg begangen wurden, und eine Aufdeckung der Gräueltaten in den Augen der sri-lankischen Behörden mithin eine staatsgefährdende Wirkung entfalten könnte. Der geltend gemachte Entführungsversuch der Schwester, welcher ein gemeinrechtliches Delikt darstellt und keinen Zusammenhang zur staatlich getragenen Bekämpfung oppositioneller Elemente aufweist, fällt folglich nicht darunter. Andererseits setzt die Zugehörigkeit zu dieser Gruppe auch voraus, dass Anhaltspunkte dafür vorliegen, dass die Urheber der Menschenrechtsverletzung auch im gegenwärtigen Zeitpunkt mittels asylrelevanter Massnahmen gegen eine Anzeige oder sonstige Aufdeckung der begangenen Menschenrechtsverletzung vorgehen respektive vorzugehen gedenken. Im vorliegenden Fall ist den Ausführungen des Beschwerdeführers allerdings zu entnehmen, dass seine Familienangehörigen und besonders seine Schwester seit seiner Ausreise keinen Behelligungen ausgesetzt waren (act. A13/14 F120 S. 12), so dass angenommen werden kann, dass auch dem Beschwerdeführer bei einer Rückkehr keine asylrelevanten Verfolgungshandlungen von Seiten der Entführer zwecks Verhinderung einer Aufdeckung des Entführungsversuchs drohen (vgl. in diesem Zusammenhang auch die nachfolgenden Ausführungen unter E. 5.5).</w:t>
      </w:r>
    </w:p>
    <w:p>
      <w:r>
        <w:rPr>
          <w:b/>
        </w:rPr>
        <w:t>E. 5.4</w:t>
      </w:r>
    </w:p>
    <w:p>
      <w:r>
        <w:t>Als weiteres Gefährdungselement brachte der Beschwerdeführer vor, dass die Karuna-Gruppe versucht habe, ihn zu rekrutieren. Die Schilderungen des Beschwerdeführers in diesem Punkt lassen jedoch auf keine aktuelle Gefährdungslage schliessen. So ist es gemäss Angaben des Beschwerdeführers in den Befragungen - entgegen den Ausführungen in der Beschwerdeschrift - zu keinen Drohungen gekommen. Vielmehr sei lediglich versucht worden, ihn mit dem Versprechen von Geschenken zu einem Beitritt zu bewegen. So sei die Gruppe viermal an den Beschwerdeführer herangetreten, habe ihn aber anschliessend in Ruhe gelassen, da gemäss Aussagen des Beschwerdeführers wohl seine Grossmutter mit den Mitgliedern der Karuna-Gruppe gesprochen habe, woraufhin diese ihn nicht mehr aufgesucht hätten (act. A13/14 F97 bis F104 S. 10). Somit sind keine Anhaltspunkte dafür ersichtlich, dass dem Beschwerdeführer aus seiner Weigerung, sich der Karuna-Gruppe anzuschliessen, irgendwelche asylrelevanten Sanktionen seitens dieser Gruppe drohen könnten. Nicht zu überzeugen vermag auch das Vorbringen in der Beschwerdeschrift, dass der Beschwerdeführer als Opfer respektive Zeuge eines gescheiterten Rekrutierungsversuchs einer Risikogruppe zuzurechnen sei, da er, wenn überhaupt, lediglich Zielperson eines untergeordneten und mit keinen ernsthaften Behelligungen verbundenen Rekrutierungsversuchs geworden ist, welcher - wie bereits ausgeführt - nicht auf eine aktuelle Gefährdung schliessen lässt.</w:t>
      </w:r>
    </w:p>
    <w:p>
      <w:r>
        <w:rPr>
          <w:b/>
        </w:rPr>
        <w:t>E. 5.5</w:t>
      </w:r>
    </w:p>
    <w:p>
      <w:r>
        <w:t>Das Kernvorbringen des Asylgesuchs betrifft die Schilderung des Beschwerdeführers, seine Schwester gegen eine Entführung von Seiten zweier Home Guard-Mitglieder verteidigt zu haben und daher verfolgt zu werden. In diesem Punkt ist den Ausführungen der Vorinstanz dahingehend zu widersprechen, dass gegen Behelligungen seitens des Home Guard Service genügend staatlicher Schutz geboten werde. Das BFM geht fälschlicherweise davon aus, dass es sich beim Home Guard Service um eine ausserhalb der staatlichen Organisation stehende Bürgerwehr handle. Wie in der Beschwerdeschrift jedoch zu Recht bemerkt wurde, ist der Home Guard Service Teil der sri-lankischen Sicherheitskräfte (vgl. die Homepage des sri-lankischen Verteidigungsministeriums www.defence.lk/ main_abt.asp?fname=homeguard). Im Grundsatzurteil BVGE 2011/24 wird der Schutz vor Übergriffen solcher paramilitärischer Gruppen im Norden und Osten des Landes als limitiert respektive ineffizient bezeichnet (vgl. BVGE 2011/24 E. 8.5 S. 498). Die Frage nach der konkreten Schutzwilligkeit des Staates im vorliegenden Fall kann jedoch offenbleiben, da selbst unter der Annahme, die Schilderungen des Beschwerdeführers entsprächen der Wahrheit, keine aktuelle Gefährdungslage ersichtlich ist. Wie bereits weiter oben ausgeführt, muss eine Gefährdungslage auch im Zeitpunkt des Asylentscheides noch andauern. Dies ist im vorliegenden Fall zu verneinen. Der Beschwerdeführer führte in den Befragungen aus, dass weder seine Grossmutter noch seine Geschwister, insbesondere die von der Entführung direkt betroffene Schwester seit seiner Ausreise irgendwelchen Behelligungen seitens der Täter ausgesetzt gewesen seien (act. A13/14 F120 S. 12). Hätten die Entführer gegenwärtig tatsächlich ein Interesse, sich durch Drohungen oder gravierendere Massnahmen für die vereitelte Entführung zu rächen oder eine Anzeige bei den Behörden zu verhindern, so wäre zu erwarten, dass gegen die Verwandten und besonders gegen die Schwester des Beschwerdeführers Massnahmen ergriffen worden wären. Da dies jedoch zu verneinen ist, kann angenommen werden, dass dem Beschwerdeführer bei einer Rückkehr keine Verfolgungshandlungen drohen.</w:t>
      </w:r>
    </w:p>
    <w:p>
      <w:r>
        <w:rPr>
          <w:b/>
        </w:rPr>
        <w:t>E. 5.6</w:t>
      </w:r>
    </w:p>
    <w:p>
      <w:r>
        <w:t>Somit kann zusammenfassend festgehalten werden, dass dem Beschwerdeführer in Sri Lanka keine asylrelevante Verfolgung droht, so dass die Vorinstanz das Asylgesuch zu Recht abgelehnt hat.</w:t>
      </w:r>
    </w:p>
    <w:p>
      <w:r>
        <w:rPr>
          <w:b/>
        </w:rPr>
        <w:t>E. 6.1</w:t>
      </w:r>
    </w:p>
    <w:p>
      <w:r>
        <w:t>Lehnt das Bundesamt das Asylgesuch ab, so verfügt es in der Regel die Wegweisung aus der Schweiz und ordnet den Vollzug an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 S. 502; Stöckli, a.a.O., Rz. 11.148).</w:t>
      </w:r>
    </w:p>
    <w:p>
      <w:r>
        <w:rPr>
          <w:b/>
        </w:rPr>
        <w:t>E. 7.3</w:t>
      </w:r>
    </w:p>
    <w:p>
      <w:r>
        <w:t>Der Vollzug ist nicht zulässig, wenn völkerrechtliche Verpflichtungen der Schweiz einer Weiterreise der Ausländerin oder des Ausländers in den Heimat-, Herkunfts- oder einen Drittstaat entgegenstehen (Art. 83 Abs. 3 AuG).</w:t>
      </w:r>
    </w:p>
    <w:p>
      <w:r>
        <w:rPr>
          <w:b/>
        </w:rPr>
        <w:t>E. 7.4</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7.5</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7.6</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Weder die allge­meine Menschenrechtssituation in Sri Lanka noch individuelle Faktoren in Bezug auf die Situation des Beschwerdefüh­rers lassen den Wegweisungsvollzug zum heutigen Zeitpunkt als unzuläs­sig erscheinen. Nach dem Gesagten ist der Vollzug der Wegweisung so­wohl im Sinne der asyl- als auch der völkerrechtlichen Bestimmungen zuläs­sig.</w:t>
      </w:r>
    </w:p>
    <w:p>
      <w:r>
        <w:rPr>
          <w:b/>
        </w:rPr>
        <w:t>E. 7.7</w:t>
      </w:r>
    </w:p>
    <w:p>
      <w:r>
        <w:t>Gemäss Art. 83 Abs. 4 AuG ist der Vollzug der Wegweisung insbeson­dere dann nicht zumutbar, wenn die beschwerdeführende Per­son bei einer Rückkehr in ihren Heimatstaat einer konkreten Gefährdung ausge­setzt wäre.</w:t>
      </w:r>
    </w:p>
    <w:p>
      <w:r>
        <w:rPr>
          <w:b/>
        </w:rPr>
        <w:t>E. 7.8</w:t>
      </w:r>
    </w:p>
    <w:p>
      <w:r>
        <w:t>Zur Zumutbarkeit des Wegweisungsvollzugs führte die Vorinstanz aus, dass sich die Situation seit Ende des Bürgerkrieges im Mai 2009 deutlich verbessert habe. Der Beschwerdeführer stamme aus Z._______ (Ostprovinz), wohin der Wegweisungsvollzug gemäss Rechtsprechung des Bundesverwaltungsgerichts grundsätzlich zumutbar sei. Der junge Beschwerdeführer verfüge dort mit seinen Angehörigen über ein tragfähiges Beziehungsnetz und eine gesicherte Wohnsituation.</w:t>
      </w:r>
    </w:p>
    <w:p>
      <w:r>
        <w:rPr>
          <w:b/>
        </w:rPr>
        <w:t>E. 7.9</w:t>
      </w:r>
    </w:p>
    <w:p>
      <w:r>
        <w:t>Gegen diese Erwägungen wurde in der Beschwerdeschrift eingewendet, dass der Vollzug der Wegweisung in den Osten des Landes zwar grundsätzlich zumutbar sei, im konkreten Fall jedoch besondere Umstände vorliegen würden, die gegen den Wegweisungsvollzug sprächen. So sei der Beschwerdeführer Vollwaise ohne jegliche Berufserfahrung. Seine Grossmutter und seine (...) Schwestern könnten ihn nur ungenügend unterstützen und angesichts der maroden Wirtschaft und mangelhaften Infrastruktur würde es dem Beschwerdeführer ausserordentlich schwer fallen, sich dort eine wirtschaftliche Existenz aufbauen zu können.</w:t>
      </w:r>
    </w:p>
    <w:p>
      <w:r>
        <w:rPr>
          <w:b/>
        </w:rPr>
        <w:t>E. 7.10</w:t>
      </w:r>
    </w:p>
    <w:p>
      <w:r>
        <w:t>Gemäss aktuellem Grundsatzentscheid des Bundesverwaltungsgerichts ist der Wegweisungsvollzug in die Ostprovinz, aus welcher der Beschwerdeführer stammt, grundsätzlich zumutbar (BVGE 2011/24 E. 13.1 S. 509 f.). Im vorliegenden Fall sind auch keine Hinweise dafür ersichtlich, dass individuelle Gründe gegen die Zumutbarkeit sprechen würden. Der Beschwerdeführer ist jung, gesund und verfügt über eine Schuldbildung ([...]; vgl. act. A2/10 Ziff. 8 S. 2). Mit seiner Grossmutter und seinen Schwestern sowie zwei seiner Tanten väterlicherseits verfügt er in Z._______ über ein tragfähiges Beziehungsnetz (act. A2/10 Ziffer 12 S. 3; act. A13/14 F25 und F30 S. 3 f.). Überdies besitzt er in Sri Lanka weitere Verwandte (act. A2/10 Ziff. 12 S. 3). Mithin ist der Wegweisungsvollzug als zumutbar zu erachten.</w:t>
      </w:r>
    </w:p>
    <w:p>
      <w:r>
        <w:rPr>
          <w:b/>
        </w:rPr>
        <w:t>E. 7.11</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7.12</w:t>
      </w:r>
    </w:p>
    <w:p>
      <w:r>
        <w:t>Zusammenfassend ist festzustellen, dass das BFM den Wegweisungsvollzug zu Recht als zulässig, zumutbar und möglich qualifi­ziert hat.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Da die Begehren in der vorliegenden Beschwerde nicht als aussichtslos zu erachten sind und die finanzielle Bedürftigkeit durch die Fürsorgebestätigung vom 27. November 2012 belegt ist, ist das Gesuch um Gewährung der unentgeltlichen Rechtspflege gutzuheissen. Folglich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