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D-61/2014 vom 3. März 2014</w:t>
      </w:r>
    </w:p>
    <w:p>
      <w:r>
        <w:t>Bundesverwaltungsgericht, 2014-03-03, DE</w:t>
      </w:r>
    </w:p>
    <w:p>
      <w:r>
        <w:rPr>
          <w:b/>
        </w:rPr>
        <w:t xml:space="preserve">Quelle: </w:t>
      </w:r>
      <w:r>
        <w:t>https://mcp.opencaselaw.ch/entscheid/bvger_D-61_2014</w:t>
      </w:r>
    </w:p>
    <w:p>
      <w:r>
        <w:t>FR: TAF D-61/2014 du 3 mars 2014</w:t>
      </w:r>
    </w:p>
    <w:p>
      <w:r>
        <w:t>IT: TAF D-61/2014 del 3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Bundesamt kann ein im Ausland gestelltes Asylgesuch ablehnen, wenn die asylsuchende Person keine Verfolgung glaubhaft machen kann oder ihr die Aufnahme in einem Drittstaat zugemutet werden kann (Art. 3 und Art. 7 AsylG sowie alt 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alt Art. 10 der Asyl­verordnung 1 vom 11. August 1999 über Verfahrensfragen (AsylV 1, SR 142.311) vor, dass diese mit der asylsuchenden Person in der Regel eine Befragung durchführt (alt Art. 10 Abs. 1 AsylV 1). Ist dies nicht möglich, so wird die asylsuchende Person aufgefordert, ihre Asylgründe schriftlich festzuhalten (alt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Beschwerdeführerin wurde nicht zu ihrem Asylgesuch befragt. Sie legte ihre Vorbringen jedoch bereits im Asylgesuch vom 2. März 2011 schriftlich dar (vgl. Sachverhalt Bst. A). Mit Verfügung vom 10. September 2012 wurde die Beschwerdeführerin unter Beilage eines explizit aufgelisteten Fragekatalogs gebeten, für die vollständige Erstellung des rechtserheblichen Sachverhalts die entsprechenden Fragen vollständig und präzise zu beantworten (vgl. Sachverhalt Bst. B). Hierzu nahm die Beschwerdeführerin am 5. Oktober 2012 schriftlich Stellung (vgl. Sachverhalt Bst. C). Der entscheidwesentliche Sachverhalt) erscheint angesichts der schriftlichen Dar­legung der Asylgründe (vgl. Sachverhalt Bst. A und C) soweit erstellt, dass die entscheidrelevanten Elemente vorliegen.</w:t>
      </w:r>
    </w:p>
    <w:p>
      <w:r>
        <w:rPr>
          <w:b/>
        </w:rPr>
        <w:t>E. 5.2.2</w:t>
      </w:r>
    </w:p>
    <w:p>
      <w:r>
        <w:t>Bei dieser Sachlage bestand keine Veranlassung, die Beschwer­deführerin vor­gängig eines Entscheides durch eine schweizerische Vertretung zu­sätzlich persönlich befragen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Halten sich die asylsuchenden Personen - wie im vorliegenden Fall - in einem Drittstaat auf, bedeutet dies noch nicht zwingend, dass es ihnen auch zuzu­muten ist, sich dort um Aufnahme zu bemühen. In einem solchen Fall ist aber im Sinne einer Vermutung davon auszugehen, die betreffenden Per­sonen haben in diesem Drittstaat bereits den erforderlichen Schutz gefunden, was in der Regel zur Ablehnung der Asylgesuche und der Verweigerung der Einreisebewilligungen führt. In jedem Falle sind die Kriterien zu prüfen, welche die Zufluchtnahme in diesem Drittstaat als zumutbar erscheinen lassen, und diese sind mit einer allfälligen Beziehungsnähe zur Schweiz abzuwägen (vgl. BVGE 2011/10).</w:t>
      </w:r>
    </w:p>
    <w:p>
      <w:r>
        <w:rPr>
          <w:b/>
        </w:rPr>
        <w:t>E. 6.2</w:t>
      </w:r>
    </w:p>
    <w:p>
      <w:r>
        <w:t>Es ist festzuhalten, dass sich die Beschwerde auf eine grundsätzliche Wiederholung der bisherigen Vorbringen beschränkt und mithin keine neuen Sachverhaltselemente geltend gemacht werden. Die Überprüfung der Akten ergibt sodann, dass sich die diesbezüglichen Erwägungen in der angefochtenen Verfügung als zutreffend erweisen (vgl. Sachverhalt Bst. D). Das BFM hat in seiner Verfügung vom 15. Juli 2013 korrekt ausgeführt, dass den Akten keine Anhaltspunkte entnommen werden könnten, wonach die Beschwerdeführerin im Zeitpunkt ihrer Ausreise aus Äthiopien von asylrelevanten Nachteilen bedroht gewesen wäre. Der Einwand in der Beschwerde, wonach der ihr bei der Einreichung der schriftlichen Eingaben behilfliche Englisch-Übersetzer ("guy") ihre Aussagen (Ausreisegrund aus Äthiopien; Gründe, die gegen eine Rückkehr dorthin sprechen; Gründe gegen einen Aufenthalt im Sudan) nicht korrekt und detailgetreu wiedergegeben habe, ist unbehelflich. Zwar werden im Zusammenhang mit den Schilderungen zum Verlust der Eltern (Tod der Mutter bei einem Bombenangriff im Rahmen des Bürgerkriegs; Tod des Vaters aufgrund eines Angriffs von Angehörigen der Tanigray People's Liberation Front [TPLF]) und dem Ausreisegrund aus dem Heimatland von der Beschwerdeführerin in ihrer Rechtsmitteleingabe mehr Empfindungen in die damals erlebten Geschehnisse hineingebracht, der Aussagegehalt der diesbezüglichen Vorbringen bleibt gegenüber demjenigen im vorinstanzlichen Verfahren jedoch unverändert und vermag nicht im geringsten aufzuzeigen, inwiefern die Beschwerdeführerin im besagten Zeitpunkt konkreten nachteiligen Massnahmen staatlicher Organe asylrelevanten Ausmasses ausgesetzt gewesen ist. In diesem Zusammenhang ist zudem auf die aufschlussreiche Aussage der Beschwerdeführerin in der Stellungnahme vom 5. Oktober 2012 hinzuweisen, wonach ihr mangels politischer Kenntnisse überhaupt keine diesbezüglichen Probleme widerfahren seien. In der Beschwerde führt sie unter anderem lediglich aus, dass viele Leute aufgrund der damaligen Unruhen das Dorf verlassen und die sie beherbergenden Nachbarn beschlossen hätten, sie solle ihnen in den Sudan folgen. Sie habe weder Verwandte noch Familie in Äthiopien und habe daher nicht alleine im Dorf bleiben können. Sie habe sich panisch gefürchtet und sei mit der (Nachbars-)Familie im Alter von 17 Jahren illegal in den Sudan ausgereist. Ferner begründete die Vorinstanz in der angefochtenen Verfügung mit dem Verweis auf das Urteil des Bundesverwaltungsgerichts E-6893/2011 vom 6. Juni 2012 E. 6.4 in einer nicht zu beanstandenden Weise, weshalb sich in casu eine weitere Prüfung der Voraussetzungen für die Erteilung einer Einreisebewilligung im asylrechtlichen Auslandsverfahren erübrige. Bei dieser Sachlage braucht auf die übrigen Vorbringen in der Rechtsmitteleingabe nicht eingegangen zu werden.</w:t>
      </w:r>
    </w:p>
    <w:p>
      <w:r>
        <w:rPr>
          <w:b/>
        </w:rPr>
        <w:t>E. 6.3</w:t>
      </w:r>
    </w:p>
    <w:p>
      <w:r>
        <w:t>Die Beschwerdeführenden vermochten insgesamt nicht aufzuzeigen, dass sie auf die Schutzgewährung durch die Schweiz angewiesen sind beziehungsweise ihnen gerade die Schweiz den erforderlichen Schutz gewähren muss.</w:t>
      </w:r>
    </w:p>
    <w:p>
      <w:r>
        <w:rPr>
          <w:b/>
        </w:rPr>
        <w:t>E. 7</w:t>
      </w:r>
    </w:p>
    <w:p>
      <w:r>
        <w:t>Aus diesen Erwägungen ergibt sich, dass die angefochtene Verfügung Bundesrecht nicht verletzt sowie den rechtserheblichen Sachverhalt richtig und vollständig feststellt (Art. 106 Abs. 1 AsylG). Das BFM hat das Asylgesuch und das Gesuch um Einreise in die Schweiz zu Recht abgelehnt. Die Beschwerde ist nach dem Gesagten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